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773E3" w14:textId="4483A124" w:rsidR="00A24A46" w:rsidRDefault="00A24A46" w:rsidP="00B74F9C">
      <w:pPr>
        <w:spacing w:after="0"/>
        <w:rPr>
          <w:b/>
          <w:bCs/>
        </w:rPr>
      </w:pPr>
      <w:r>
        <w:rPr>
          <w:b/>
          <w:bCs/>
        </w:rPr>
        <w:t xml:space="preserve">Exhibit </w:t>
      </w:r>
      <w:r w:rsidR="0080076D">
        <w:rPr>
          <w:b/>
          <w:bCs/>
        </w:rPr>
        <w:t>2</w:t>
      </w:r>
      <w:r>
        <w:rPr>
          <w:b/>
          <w:bCs/>
        </w:rPr>
        <w:t xml:space="preserve">: </w:t>
      </w:r>
      <w:r w:rsidR="0088066D">
        <w:rPr>
          <w:b/>
          <w:bCs/>
        </w:rPr>
        <w:t>Performance Rewards and Service Level Agreements</w:t>
      </w:r>
    </w:p>
    <w:p w14:paraId="45619DDB" w14:textId="77777777" w:rsidR="00A24A46" w:rsidRDefault="00A24A46" w:rsidP="00B74F9C">
      <w:pPr>
        <w:spacing w:after="0"/>
        <w:rPr>
          <w:b/>
          <w:bCs/>
        </w:rPr>
      </w:pPr>
    </w:p>
    <w:p w14:paraId="04B1D1ED" w14:textId="7C79FE61" w:rsidR="005C47B7" w:rsidRDefault="00A24A46" w:rsidP="00A24A46">
      <w:r>
        <w:t xml:space="preserve">This exhibit outlines the approach that FSSA will employ </w:t>
      </w:r>
      <w:proofErr w:type="gramStart"/>
      <w:r>
        <w:t>with regard to</w:t>
      </w:r>
      <w:proofErr w:type="gramEnd"/>
      <w:r>
        <w:t xml:space="preserve"> service level agreements</w:t>
      </w:r>
      <w:r w:rsidR="0F1DAEF2">
        <w:t xml:space="preserve">, </w:t>
      </w:r>
      <w:r>
        <w:t>non-financial incentives</w:t>
      </w:r>
      <w:r w:rsidR="7EF86888">
        <w:t xml:space="preserve"> and other performance rewards</w:t>
      </w:r>
      <w:r>
        <w:t xml:space="preserve">. </w:t>
      </w:r>
      <w:r w:rsidR="00F8043D">
        <w:t xml:space="preserve">The core elements of the service level agreements and non-financial incentive programs are </w:t>
      </w:r>
      <w:r w:rsidR="37F918CD">
        <w:t>detailed</w:t>
      </w:r>
      <w:r w:rsidR="00F8043D">
        <w:t xml:space="preserve"> below. </w:t>
      </w:r>
    </w:p>
    <w:p w14:paraId="63739C0C" w14:textId="1457AA4F" w:rsidR="00A24A46" w:rsidRDefault="005C47B7" w:rsidP="00A24A46">
      <w:r>
        <w:t>As outlined in the table below, p</w:t>
      </w:r>
      <w:r w:rsidR="007A0791">
        <w:t xml:space="preserve">rior to contract award, FSSA will provide notification </w:t>
      </w:r>
      <w:bookmarkStart w:id="0" w:name="_Hlk210085557"/>
      <w:r w:rsidR="007A0791">
        <w:t>regarding the methodologies</w:t>
      </w:r>
      <w:r w:rsidR="00FC7EFF">
        <w:t>, measures and targets</w:t>
      </w:r>
      <w:r w:rsidR="007A0791">
        <w:t xml:space="preserve"> it will employ for </w:t>
      </w:r>
      <w:bookmarkEnd w:id="0"/>
      <w:r w:rsidR="007A0791">
        <w:t xml:space="preserve">service level agreements and non-financial incentive programs during Contract Year 1. </w:t>
      </w:r>
      <w:r w:rsidR="00FC7EFF">
        <w:t xml:space="preserve">For future contract years, FSSA will provide 90 days’ advance notification </w:t>
      </w:r>
      <w:r w:rsidR="00E306A9">
        <w:t>regarding the methodologies, measures and targets it will employ for any performance rewards and/or service level agreements</w:t>
      </w:r>
      <w:r w:rsidR="00C65BB3">
        <w:t>.</w:t>
      </w:r>
    </w:p>
    <w:tbl>
      <w:tblPr>
        <w:tblStyle w:val="GridTable4"/>
        <w:tblW w:w="8640" w:type="dxa"/>
        <w:tblLook w:val="0420" w:firstRow="1" w:lastRow="0" w:firstColumn="0" w:lastColumn="0" w:noHBand="0" w:noVBand="1"/>
      </w:tblPr>
      <w:tblGrid>
        <w:gridCol w:w="3500"/>
        <w:gridCol w:w="2435"/>
        <w:gridCol w:w="2705"/>
      </w:tblGrid>
      <w:tr w:rsidR="00972267" w:rsidRPr="00972267" w14:paraId="05FD1281" w14:textId="77777777" w:rsidTr="4A97B1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3500" w:type="dxa"/>
            <w:hideMark/>
          </w:tcPr>
          <w:p w14:paraId="7EA429A1" w14:textId="77777777" w:rsidR="00972267" w:rsidRPr="00972267" w:rsidRDefault="00972267" w:rsidP="00972267">
            <w:pPr>
              <w:spacing w:after="160" w:line="278" w:lineRule="auto"/>
            </w:pPr>
          </w:p>
        </w:tc>
        <w:tc>
          <w:tcPr>
            <w:tcW w:w="2435" w:type="dxa"/>
            <w:hideMark/>
          </w:tcPr>
          <w:p w14:paraId="7ADE06A9" w14:textId="77777777" w:rsidR="00972267" w:rsidRPr="00972267" w:rsidRDefault="00972267" w:rsidP="00972267">
            <w:pPr>
              <w:spacing w:after="160" w:line="278" w:lineRule="auto"/>
            </w:pPr>
            <w:r w:rsidRPr="00972267">
              <w:t>For Contract Year 1</w:t>
            </w:r>
          </w:p>
        </w:tc>
        <w:tc>
          <w:tcPr>
            <w:tcW w:w="2705" w:type="dxa"/>
            <w:hideMark/>
          </w:tcPr>
          <w:p w14:paraId="32B2874B" w14:textId="4147EC61" w:rsidR="00972267" w:rsidRPr="00972267" w:rsidRDefault="00972267" w:rsidP="00972267">
            <w:pPr>
              <w:spacing w:after="160" w:line="278" w:lineRule="auto"/>
            </w:pPr>
            <w:r w:rsidRPr="00972267">
              <w:t>For Contract Year</w:t>
            </w:r>
            <w:r>
              <w:t>s</w:t>
            </w:r>
            <w:r w:rsidRPr="00972267">
              <w:t xml:space="preserve"> 2+</w:t>
            </w:r>
          </w:p>
        </w:tc>
      </w:tr>
      <w:tr w:rsidR="00972267" w:rsidRPr="00972267" w14:paraId="57C4FFE8" w14:textId="77777777" w:rsidTr="4A97B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500" w:type="dxa"/>
            <w:hideMark/>
          </w:tcPr>
          <w:p w14:paraId="58BB9290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Analyze available data to identify gaps, achievements, etc.*</w:t>
            </w:r>
          </w:p>
        </w:tc>
        <w:tc>
          <w:tcPr>
            <w:tcW w:w="2435" w:type="dxa"/>
            <w:shd w:val="clear" w:color="auto" w:fill="808080" w:themeFill="background1" w:themeFillShade="80"/>
            <w:vAlign w:val="center"/>
            <w:hideMark/>
          </w:tcPr>
          <w:p w14:paraId="2EF284E4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5" w:type="dxa"/>
            <w:vAlign w:val="center"/>
            <w:hideMark/>
          </w:tcPr>
          <w:p w14:paraId="28E0EBDB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Nov. 2026 – Feb. 2027</w:t>
            </w:r>
          </w:p>
        </w:tc>
      </w:tr>
      <w:tr w:rsidR="00972267" w:rsidRPr="00972267" w14:paraId="7F2B0E4F" w14:textId="77777777" w:rsidTr="4A97B1EF">
        <w:trPr>
          <w:trHeight w:val="584"/>
        </w:trPr>
        <w:tc>
          <w:tcPr>
            <w:tcW w:w="3500" w:type="dxa"/>
            <w:hideMark/>
          </w:tcPr>
          <w:p w14:paraId="3B9A4ED5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Seek input re: focus areas, opportunity areas, measures, etc.**</w:t>
            </w:r>
          </w:p>
        </w:tc>
        <w:tc>
          <w:tcPr>
            <w:tcW w:w="2435" w:type="dxa"/>
            <w:shd w:val="clear" w:color="auto" w:fill="808080" w:themeFill="background1" w:themeFillShade="80"/>
            <w:vAlign w:val="center"/>
            <w:hideMark/>
          </w:tcPr>
          <w:p w14:paraId="29CF1C45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5" w:type="dxa"/>
            <w:vAlign w:val="center"/>
            <w:hideMark/>
          </w:tcPr>
          <w:p w14:paraId="097C4335" w14:textId="0882CFC0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Jan. 2026 – Feb. 2027</w:t>
            </w:r>
          </w:p>
        </w:tc>
      </w:tr>
      <w:tr w:rsidR="00972267" w:rsidRPr="00972267" w14:paraId="62F186A8" w14:textId="77777777" w:rsidTr="4A97B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500" w:type="dxa"/>
            <w:hideMark/>
          </w:tcPr>
          <w:p w14:paraId="31D0E689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Determine whether to institute new measures</w:t>
            </w:r>
          </w:p>
        </w:tc>
        <w:tc>
          <w:tcPr>
            <w:tcW w:w="2435" w:type="dxa"/>
            <w:shd w:val="clear" w:color="auto" w:fill="808080" w:themeFill="background1" w:themeFillShade="80"/>
            <w:vAlign w:val="center"/>
            <w:hideMark/>
          </w:tcPr>
          <w:p w14:paraId="3628D6BC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5" w:type="dxa"/>
            <w:vAlign w:val="center"/>
            <w:hideMark/>
          </w:tcPr>
          <w:p w14:paraId="57C2B047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By March 1, 2027</w:t>
            </w:r>
          </w:p>
        </w:tc>
      </w:tr>
      <w:tr w:rsidR="00972267" w:rsidRPr="00972267" w14:paraId="65A3FB33" w14:textId="77777777" w:rsidTr="4A97B1EF">
        <w:trPr>
          <w:trHeight w:val="584"/>
        </w:trPr>
        <w:tc>
          <w:tcPr>
            <w:tcW w:w="3500" w:type="dxa"/>
            <w:hideMark/>
          </w:tcPr>
          <w:p w14:paraId="66C7C654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Finalize measures and targets, and notify Contractors</w:t>
            </w:r>
          </w:p>
        </w:tc>
        <w:tc>
          <w:tcPr>
            <w:tcW w:w="2435" w:type="dxa"/>
            <w:vAlign w:val="center"/>
            <w:hideMark/>
          </w:tcPr>
          <w:p w14:paraId="1910628E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By April 1, 2026</w:t>
            </w:r>
          </w:p>
        </w:tc>
        <w:tc>
          <w:tcPr>
            <w:tcW w:w="2705" w:type="dxa"/>
            <w:vAlign w:val="center"/>
            <w:hideMark/>
          </w:tcPr>
          <w:p w14:paraId="24A1937D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By April 1, 2027</w:t>
            </w:r>
          </w:p>
        </w:tc>
      </w:tr>
      <w:tr w:rsidR="00972267" w:rsidRPr="00972267" w14:paraId="60E737C8" w14:textId="77777777" w:rsidTr="4A97B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500" w:type="dxa"/>
            <w:hideMark/>
          </w:tcPr>
          <w:p w14:paraId="5EE8B6BB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Publish measure specifications, reporting requirements and targets</w:t>
            </w:r>
          </w:p>
        </w:tc>
        <w:tc>
          <w:tcPr>
            <w:tcW w:w="2435" w:type="dxa"/>
            <w:vAlign w:val="center"/>
            <w:hideMark/>
          </w:tcPr>
          <w:p w14:paraId="20B710A8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By April 1, 2026</w:t>
            </w:r>
          </w:p>
        </w:tc>
        <w:tc>
          <w:tcPr>
            <w:tcW w:w="2705" w:type="dxa"/>
            <w:vAlign w:val="center"/>
            <w:hideMark/>
          </w:tcPr>
          <w:p w14:paraId="2A06C603" w14:textId="77777777" w:rsidR="00972267" w:rsidRPr="00972267" w:rsidRDefault="0097226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By April 1, 2027</w:t>
            </w:r>
          </w:p>
        </w:tc>
      </w:tr>
      <w:tr w:rsidR="00972267" w:rsidRPr="00972267" w14:paraId="542DD781" w14:textId="77777777" w:rsidTr="006E4C17">
        <w:trPr>
          <w:trHeight w:val="584"/>
        </w:trPr>
        <w:tc>
          <w:tcPr>
            <w:tcW w:w="0" w:type="dxa"/>
            <w:vAlign w:val="center"/>
            <w:hideMark/>
          </w:tcPr>
          <w:p w14:paraId="2153D391" w14:textId="77777777" w:rsidR="00972267" w:rsidRPr="00972267" w:rsidRDefault="00972267" w:rsidP="006620EC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Measurement period begins</w:t>
            </w:r>
          </w:p>
        </w:tc>
        <w:tc>
          <w:tcPr>
            <w:tcW w:w="0" w:type="dxa"/>
            <w:vAlign w:val="center"/>
            <w:hideMark/>
          </w:tcPr>
          <w:p w14:paraId="27E82856" w14:textId="14112E62" w:rsidR="00972267" w:rsidRPr="006E4C17" w:rsidRDefault="006E4C1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6E4C17">
              <w:rPr>
                <w:sz w:val="20"/>
                <w:szCs w:val="20"/>
              </w:rPr>
              <w:t>July 1</w:t>
            </w:r>
            <w:r w:rsidR="00972267" w:rsidRPr="006E4C17">
              <w:rPr>
                <w:sz w:val="20"/>
                <w:szCs w:val="20"/>
              </w:rPr>
              <w:t>, 2026</w:t>
            </w:r>
          </w:p>
        </w:tc>
        <w:tc>
          <w:tcPr>
            <w:tcW w:w="0" w:type="dxa"/>
            <w:vAlign w:val="center"/>
            <w:hideMark/>
          </w:tcPr>
          <w:p w14:paraId="106029BC" w14:textId="1684BD8F" w:rsidR="00972267" w:rsidRPr="006E4C17" w:rsidRDefault="006E4C1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6E4C17">
              <w:rPr>
                <w:sz w:val="20"/>
                <w:szCs w:val="20"/>
              </w:rPr>
              <w:t>July 1</w:t>
            </w:r>
            <w:r w:rsidR="00972267" w:rsidRPr="006E4C17">
              <w:rPr>
                <w:sz w:val="20"/>
                <w:szCs w:val="20"/>
              </w:rPr>
              <w:t>, 2027</w:t>
            </w:r>
          </w:p>
        </w:tc>
      </w:tr>
      <w:tr w:rsidR="00972267" w:rsidRPr="00972267" w14:paraId="48B2D077" w14:textId="77777777" w:rsidTr="4A97B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500" w:type="dxa"/>
            <w:hideMark/>
          </w:tcPr>
          <w:p w14:paraId="7DB15144" w14:textId="77777777" w:rsidR="00972267" w:rsidRPr="00972267" w:rsidRDefault="00972267" w:rsidP="00972267">
            <w:pPr>
              <w:spacing w:after="160" w:line="278" w:lineRule="auto"/>
              <w:rPr>
                <w:sz w:val="20"/>
                <w:szCs w:val="20"/>
              </w:rPr>
            </w:pPr>
            <w:r w:rsidRPr="00972267">
              <w:rPr>
                <w:sz w:val="20"/>
                <w:szCs w:val="20"/>
              </w:rPr>
              <w:t>Measurement period ends</w:t>
            </w:r>
          </w:p>
        </w:tc>
        <w:tc>
          <w:tcPr>
            <w:tcW w:w="2435" w:type="dxa"/>
            <w:vAlign w:val="center"/>
            <w:hideMark/>
          </w:tcPr>
          <w:p w14:paraId="1687A301" w14:textId="40B83EF4" w:rsidR="00972267" w:rsidRPr="006E4C17" w:rsidRDefault="006E4C1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6E4C17">
              <w:rPr>
                <w:sz w:val="20"/>
                <w:szCs w:val="20"/>
              </w:rPr>
              <w:t>June 30</w:t>
            </w:r>
            <w:r w:rsidR="002C1737" w:rsidRPr="006E4C17">
              <w:rPr>
                <w:sz w:val="20"/>
                <w:szCs w:val="20"/>
              </w:rPr>
              <w:t>,</w:t>
            </w:r>
            <w:r w:rsidR="00972267" w:rsidRPr="006E4C17">
              <w:rPr>
                <w:sz w:val="20"/>
                <w:szCs w:val="20"/>
              </w:rPr>
              <w:t xml:space="preserve"> 2027</w:t>
            </w:r>
          </w:p>
        </w:tc>
        <w:tc>
          <w:tcPr>
            <w:tcW w:w="2705" w:type="dxa"/>
            <w:vAlign w:val="center"/>
            <w:hideMark/>
          </w:tcPr>
          <w:p w14:paraId="6C85163B" w14:textId="433D1B17" w:rsidR="00972267" w:rsidRPr="006E4C17" w:rsidRDefault="006E4C17" w:rsidP="00C65BB3">
            <w:pPr>
              <w:spacing w:after="160" w:line="278" w:lineRule="auto"/>
              <w:jc w:val="center"/>
              <w:rPr>
                <w:sz w:val="20"/>
                <w:szCs w:val="20"/>
              </w:rPr>
            </w:pPr>
            <w:r w:rsidRPr="006E4C17">
              <w:rPr>
                <w:sz w:val="20"/>
                <w:szCs w:val="20"/>
              </w:rPr>
              <w:t>June 30</w:t>
            </w:r>
            <w:r w:rsidR="00972267" w:rsidRPr="006E4C17">
              <w:rPr>
                <w:sz w:val="20"/>
                <w:szCs w:val="20"/>
              </w:rPr>
              <w:t>, 2028</w:t>
            </w:r>
          </w:p>
        </w:tc>
      </w:tr>
    </w:tbl>
    <w:p w14:paraId="01EE9DC3" w14:textId="77777777" w:rsidR="007A0791" w:rsidRDefault="007A0791" w:rsidP="00A24A46"/>
    <w:p w14:paraId="6D2C5F16" w14:textId="22E7F7E2" w:rsidR="004D2BBC" w:rsidRDefault="007B16BA" w:rsidP="00A24A46">
      <w:r>
        <w:t>FSSA anticipates that t</w:t>
      </w:r>
      <w:r w:rsidR="004D2BBC">
        <w:t>he following principles will apply</w:t>
      </w:r>
      <w:r>
        <w:t xml:space="preserve"> to service level agreements and non-financial incentives</w:t>
      </w:r>
      <w:r w:rsidR="004D2BBC">
        <w:t>:</w:t>
      </w:r>
    </w:p>
    <w:p w14:paraId="3E6042B0" w14:textId="2DB002B9" w:rsidR="00DD7B72" w:rsidRDefault="00DD7B72" w:rsidP="00DD7B72">
      <w:pPr>
        <w:pStyle w:val="ListParagraph"/>
        <w:numPr>
          <w:ilvl w:val="0"/>
          <w:numId w:val="3"/>
        </w:numPr>
      </w:pPr>
      <w:r w:rsidRPr="004D2BBC">
        <w:t xml:space="preserve">FSSA </w:t>
      </w:r>
      <w:r>
        <w:t xml:space="preserve">will </w:t>
      </w:r>
      <w:r w:rsidRPr="004D2BBC">
        <w:t xml:space="preserve">notify the CMOs of the new </w:t>
      </w:r>
      <w:r w:rsidR="00E306A9">
        <w:t xml:space="preserve">methodologies, </w:t>
      </w:r>
      <w:r w:rsidRPr="004D2BBC">
        <w:t>measures and targets at least 90 days prior to the start of the measurement period to which they apply.</w:t>
      </w:r>
    </w:p>
    <w:p w14:paraId="20E44A96" w14:textId="474194A3" w:rsidR="006A342D" w:rsidRDefault="00DD7B72" w:rsidP="004D2BBC">
      <w:pPr>
        <w:pStyle w:val="ListParagraph"/>
        <w:numPr>
          <w:ilvl w:val="0"/>
          <w:numId w:val="3"/>
        </w:numPr>
      </w:pPr>
      <w:r>
        <w:t>Each p</w:t>
      </w:r>
      <w:r w:rsidR="004D2BBC" w:rsidRPr="004D2BBC">
        <w:t xml:space="preserve">erformance measure and </w:t>
      </w:r>
      <w:r>
        <w:t xml:space="preserve">the associated </w:t>
      </w:r>
      <w:r w:rsidR="004D2BBC" w:rsidRPr="004D2BBC">
        <w:t xml:space="preserve">targets will remain in place for </w:t>
      </w:r>
      <w:r w:rsidR="00003CD8">
        <w:t xml:space="preserve">at least one </w:t>
      </w:r>
      <w:r w:rsidR="006A342D">
        <w:t>c</w:t>
      </w:r>
      <w:r w:rsidR="004D2BBC" w:rsidRPr="004D2BBC">
        <w:t xml:space="preserve">ontract </w:t>
      </w:r>
      <w:r w:rsidR="006A342D">
        <w:t>y</w:t>
      </w:r>
      <w:r w:rsidR="004D2BBC" w:rsidRPr="004D2BBC">
        <w:t>ear.</w:t>
      </w:r>
      <w:r w:rsidR="00E306A9">
        <w:t xml:space="preserve"> </w:t>
      </w:r>
    </w:p>
    <w:p w14:paraId="35F87F75" w14:textId="2D64F21A" w:rsidR="001421D1" w:rsidRDefault="006A342D" w:rsidP="004D2BBC">
      <w:pPr>
        <w:pStyle w:val="ListParagraph"/>
        <w:numPr>
          <w:ilvl w:val="0"/>
          <w:numId w:val="3"/>
        </w:numPr>
      </w:pPr>
      <w:r>
        <w:t xml:space="preserve">Over time, performance measures </w:t>
      </w:r>
      <w:r w:rsidR="001421D1">
        <w:t xml:space="preserve">and targets </w:t>
      </w:r>
      <w:r>
        <w:t>will evolve</w:t>
      </w:r>
      <w:r w:rsidR="001421D1">
        <w:t xml:space="preserve"> s</w:t>
      </w:r>
      <w:r w:rsidR="00EC001D">
        <w:t>uch</w:t>
      </w:r>
      <w:r w:rsidR="001421D1">
        <w:t xml:space="preserve"> that:</w:t>
      </w:r>
    </w:p>
    <w:p w14:paraId="658E050F" w14:textId="0B8A5B1D" w:rsidR="004D2BBC" w:rsidRDefault="001421D1" w:rsidP="001421D1">
      <w:pPr>
        <w:pStyle w:val="ListParagraph"/>
        <w:numPr>
          <w:ilvl w:val="1"/>
          <w:numId w:val="3"/>
        </w:numPr>
      </w:pPr>
      <w:r>
        <w:lastRenderedPageBreak/>
        <w:t xml:space="preserve">Performance improvements are </w:t>
      </w:r>
      <w:proofErr w:type="gramStart"/>
      <w:r>
        <w:t>continuous</w:t>
      </w:r>
      <w:proofErr w:type="gramEnd"/>
      <w:r>
        <w:t xml:space="preserve"> and high performance is </w:t>
      </w:r>
      <w:proofErr w:type="gramStart"/>
      <w:r>
        <w:t>sustained</w:t>
      </w:r>
      <w:r w:rsidR="00EC001D">
        <w:t>;</w:t>
      </w:r>
      <w:proofErr w:type="gramEnd"/>
    </w:p>
    <w:p w14:paraId="7B73C389" w14:textId="470BD6A0" w:rsidR="001421D1" w:rsidRDefault="004A2086" w:rsidP="001421D1">
      <w:pPr>
        <w:pStyle w:val="ListParagraph"/>
        <w:numPr>
          <w:ilvl w:val="1"/>
          <w:numId w:val="3"/>
        </w:numPr>
      </w:pPr>
      <w:r>
        <w:t>Structural and process-oriented measures may be used in early contract years, with the intent to evolve toward increased focus on o</w:t>
      </w:r>
      <w:r w:rsidR="001421D1">
        <w:t xml:space="preserve">utcome-based performance measures </w:t>
      </w:r>
      <w:r w:rsidR="001219B0">
        <w:t>in later contract years</w:t>
      </w:r>
      <w:r w:rsidR="00EC001D">
        <w:t>; and</w:t>
      </w:r>
    </w:p>
    <w:p w14:paraId="00FC6D87" w14:textId="77777777" w:rsidR="007303C6" w:rsidRDefault="001219B0" w:rsidP="001219B0">
      <w:pPr>
        <w:pStyle w:val="ListParagraph"/>
        <w:numPr>
          <w:ilvl w:val="1"/>
          <w:numId w:val="3"/>
        </w:numPr>
        <w:spacing w:after="100"/>
      </w:pPr>
      <w:r>
        <w:t xml:space="preserve">The reports and data furnished by the Contractor </w:t>
      </w:r>
      <w:proofErr w:type="gramStart"/>
      <w:r>
        <w:t>during the course of</w:t>
      </w:r>
      <w:proofErr w:type="gramEnd"/>
      <w:r>
        <w:t xml:space="preserve"> the Contract may be used to develop specific performance targets</w:t>
      </w:r>
      <w:r w:rsidR="007303C6">
        <w:t xml:space="preserve">, </w:t>
      </w:r>
      <w:r>
        <w:t>service-level agreements</w:t>
      </w:r>
      <w:r w:rsidR="007303C6">
        <w:t xml:space="preserve"> and non-financial incentives</w:t>
      </w:r>
      <w:r>
        <w:t xml:space="preserve"> for future </w:t>
      </w:r>
      <w:r w:rsidR="007303C6">
        <w:t>c</w:t>
      </w:r>
      <w:r>
        <w:t xml:space="preserve">ontract years. </w:t>
      </w:r>
    </w:p>
    <w:p w14:paraId="3DE4E4ED" w14:textId="219C136C" w:rsidR="0041495A" w:rsidRDefault="0041495A" w:rsidP="0041495A">
      <w:pPr>
        <w:pStyle w:val="ListParagraph"/>
        <w:numPr>
          <w:ilvl w:val="0"/>
          <w:numId w:val="3"/>
        </w:numPr>
        <w:spacing w:after="100"/>
      </w:pPr>
      <w:r>
        <w:t>Any given service level agreement</w:t>
      </w:r>
      <w:r w:rsidR="00EC001D">
        <w:t xml:space="preserve">, </w:t>
      </w:r>
      <w:r>
        <w:t xml:space="preserve">non-financial reward </w:t>
      </w:r>
      <w:r w:rsidR="002A69A8">
        <w:t xml:space="preserve">or other performance reward </w:t>
      </w:r>
      <w:r>
        <w:t>methodology may rely upon a single performance measure or upon a combination of two or more performance measures.</w:t>
      </w:r>
    </w:p>
    <w:p w14:paraId="1EF30BCA" w14:textId="7BA1E595" w:rsidR="009735E7" w:rsidRDefault="009735E7" w:rsidP="0041495A">
      <w:pPr>
        <w:pStyle w:val="ListParagraph"/>
        <w:numPr>
          <w:ilvl w:val="0"/>
          <w:numId w:val="3"/>
        </w:numPr>
        <w:spacing w:after="100"/>
      </w:pPr>
      <w:r>
        <w:t>S</w:t>
      </w:r>
      <w:r w:rsidR="0041495A">
        <w:t>ervice level agreement</w:t>
      </w:r>
      <w:r w:rsidR="00665FEF">
        <w:t xml:space="preserve">, </w:t>
      </w:r>
      <w:r w:rsidR="0041495A">
        <w:t xml:space="preserve">non-financial reward </w:t>
      </w:r>
      <w:r w:rsidR="00665FEF">
        <w:t xml:space="preserve">or other performance reward </w:t>
      </w:r>
      <w:r w:rsidR="0041495A">
        <w:t>methodolog</w:t>
      </w:r>
      <w:r>
        <w:t>ies</w:t>
      </w:r>
      <w:r w:rsidR="0041495A">
        <w:t xml:space="preserve"> may</w:t>
      </w:r>
      <w:r>
        <w:t>:</w:t>
      </w:r>
    </w:p>
    <w:p w14:paraId="5E73894E" w14:textId="0CF16CAF" w:rsidR="009735E7" w:rsidRDefault="009735E7" w:rsidP="009735E7">
      <w:pPr>
        <w:pStyle w:val="ListParagraph"/>
        <w:numPr>
          <w:ilvl w:val="1"/>
          <w:numId w:val="3"/>
        </w:numPr>
        <w:spacing w:after="100"/>
      </w:pPr>
      <w:r>
        <w:t xml:space="preserve">Use an all-or-nothing approach, whereby the Contractor receives a reward only if it meets the established performance </w:t>
      </w:r>
      <w:proofErr w:type="gramStart"/>
      <w:r>
        <w:t>target</w:t>
      </w:r>
      <w:r w:rsidR="00622E61">
        <w:t>;</w:t>
      </w:r>
      <w:proofErr w:type="gramEnd"/>
      <w:r w:rsidR="009C718B">
        <w:t xml:space="preserve"> </w:t>
      </w:r>
    </w:p>
    <w:p w14:paraId="326993F6" w14:textId="4797FF55" w:rsidR="00622E61" w:rsidRDefault="009735E7" w:rsidP="009C718B">
      <w:pPr>
        <w:pStyle w:val="ListParagraph"/>
        <w:numPr>
          <w:ilvl w:val="1"/>
          <w:numId w:val="3"/>
        </w:numPr>
        <w:spacing w:after="100"/>
      </w:pPr>
      <w:r>
        <w:t>U</w:t>
      </w:r>
      <w:r w:rsidR="0041495A">
        <w:t xml:space="preserve">se a tiered </w:t>
      </w:r>
      <w:r>
        <w:t xml:space="preserve">or scaled </w:t>
      </w:r>
      <w:r w:rsidR="0041495A">
        <w:t>approach to making</w:t>
      </w:r>
      <w:r w:rsidR="00CD1D65">
        <w:t xml:space="preserve"> awards, </w:t>
      </w:r>
      <w:r w:rsidR="00622E61">
        <w:t xml:space="preserve">whereby the Contractor receives </w:t>
      </w:r>
      <w:r w:rsidR="70CD7D28">
        <w:t xml:space="preserve">a </w:t>
      </w:r>
      <w:r w:rsidR="007B16BA">
        <w:t xml:space="preserve">portion of the available </w:t>
      </w:r>
      <w:r w:rsidR="00622E61">
        <w:t>reward based upon, for example, coming close to achieving the target</w:t>
      </w:r>
      <w:r w:rsidR="00665FEF">
        <w:t>; and/or</w:t>
      </w:r>
    </w:p>
    <w:p w14:paraId="4CFBEEAA" w14:textId="2D2B341A" w:rsidR="00665FEF" w:rsidRDefault="00665FEF" w:rsidP="009C718B">
      <w:pPr>
        <w:pStyle w:val="ListParagraph"/>
        <w:numPr>
          <w:ilvl w:val="1"/>
          <w:numId w:val="3"/>
        </w:numPr>
        <w:spacing w:after="100"/>
      </w:pPr>
      <w:r>
        <w:t xml:space="preserve">Reward year-over-year improvement or maintenance of </w:t>
      </w:r>
      <w:proofErr w:type="gramStart"/>
      <w:r>
        <w:t>high performance</w:t>
      </w:r>
      <w:proofErr w:type="gramEnd"/>
      <w:r>
        <w:t xml:space="preserve"> levels.</w:t>
      </w:r>
    </w:p>
    <w:p w14:paraId="13F4A1DE" w14:textId="102F5970" w:rsidR="6CF0A626" w:rsidRDefault="6CF0A626" w:rsidP="006E4C17">
      <w:pPr>
        <w:pStyle w:val="ListParagraph"/>
        <w:numPr>
          <w:ilvl w:val="0"/>
          <w:numId w:val="3"/>
        </w:numPr>
        <w:spacing w:after="100"/>
      </w:pPr>
      <w:r>
        <w:t>Some service level agreements may apply to all waiver programs, while other service level agreements may apply to a subset of waiver programs.</w:t>
      </w:r>
    </w:p>
    <w:p w14:paraId="3D1F264C" w14:textId="55F2A4F2" w:rsidR="001219B0" w:rsidRDefault="001219B0" w:rsidP="003A6515">
      <w:pPr>
        <w:spacing w:after="100"/>
      </w:pPr>
      <w:r>
        <w:t>The State reserves the right to require additional reports from the Contractor to measure performance against the service-level agreements</w:t>
      </w:r>
      <w:r w:rsidR="008E3B21">
        <w:t xml:space="preserve"> and for other purposes related to determining a </w:t>
      </w:r>
      <w:r w:rsidR="0080076D">
        <w:t>contractor’s</w:t>
      </w:r>
      <w:r w:rsidR="008E3B21">
        <w:t xml:space="preserve"> eligibility for performance rewards</w:t>
      </w:r>
      <w:r>
        <w:t>.</w:t>
      </w:r>
    </w:p>
    <w:p w14:paraId="417791F3" w14:textId="77777777" w:rsidR="00F8043D" w:rsidRPr="00F8043D" w:rsidRDefault="00F8043D" w:rsidP="00A24A46">
      <w:pPr>
        <w:rPr>
          <w:b/>
          <w:bCs/>
        </w:rPr>
      </w:pPr>
      <w:r w:rsidRPr="00F8043D">
        <w:rPr>
          <w:b/>
          <w:bCs/>
        </w:rPr>
        <w:t>Service Level Agreements</w:t>
      </w:r>
    </w:p>
    <w:p w14:paraId="5B3069F7" w14:textId="6D7A8336" w:rsidR="002412BA" w:rsidRDefault="00A24A46" w:rsidP="00A24A46">
      <w:r>
        <w:t xml:space="preserve">FSSA will withhold up to </w:t>
      </w:r>
      <w:r w:rsidR="00D90778">
        <w:t>two</w:t>
      </w:r>
      <w:r w:rsidR="008E3B21">
        <w:t xml:space="preserve"> (</w:t>
      </w:r>
      <w:r w:rsidR="00D90778">
        <w:t>2</w:t>
      </w:r>
      <w:r w:rsidR="008E3B21">
        <w:t xml:space="preserve">) </w:t>
      </w:r>
      <w:r w:rsidR="0088066D">
        <w:t>percent</w:t>
      </w:r>
      <w:r>
        <w:t xml:space="preserve"> of the Case Management fee referenced in Section 7</w:t>
      </w:r>
      <w:r w:rsidR="003A6515">
        <w:t xml:space="preserve"> of the SOW. </w:t>
      </w:r>
      <w:r w:rsidR="002412BA">
        <w:t xml:space="preserve">FSSA will return these </w:t>
      </w:r>
      <w:r w:rsidR="002412BA" w:rsidRPr="002412BA">
        <w:t xml:space="preserve">withheld funds if the </w:t>
      </w:r>
      <w:r w:rsidR="002412BA">
        <w:t xml:space="preserve">Contractor </w:t>
      </w:r>
      <w:r w:rsidR="002412BA" w:rsidRPr="002412BA">
        <w:t xml:space="preserve">meets </w:t>
      </w:r>
      <w:r w:rsidR="002412BA">
        <w:t xml:space="preserve">the service level agreements </w:t>
      </w:r>
      <w:r w:rsidR="002412BA" w:rsidRPr="002412BA">
        <w:t xml:space="preserve">specified in its contract. </w:t>
      </w:r>
    </w:p>
    <w:p w14:paraId="0D609E6E" w14:textId="4ABF1344" w:rsidR="00E30706" w:rsidRDefault="00E30706" w:rsidP="00A24A46">
      <w:r>
        <w:t xml:space="preserve">For Contract Year 1, FSSA anticipates establishing </w:t>
      </w:r>
      <w:r w:rsidR="00A01FA4">
        <w:t xml:space="preserve">service </w:t>
      </w:r>
      <w:r>
        <w:t xml:space="preserve">level agreements for the following performance areas: </w:t>
      </w:r>
    </w:p>
    <w:p w14:paraId="07C5FD50" w14:textId="4ED54F5A" w:rsidR="00865501" w:rsidRDefault="00350634" w:rsidP="003A71A0">
      <w:pPr>
        <w:pStyle w:val="ListParagraph"/>
        <w:numPr>
          <w:ilvl w:val="0"/>
          <w:numId w:val="2"/>
        </w:numPr>
      </w:pPr>
      <w:r>
        <w:t>Timely</w:t>
      </w:r>
      <w:r w:rsidR="00796065">
        <w:t xml:space="preserve"> and accurate</w:t>
      </w:r>
      <w:r>
        <w:t xml:space="preserve"> completion of PCISP initials, annuals and updates</w:t>
      </w:r>
    </w:p>
    <w:p w14:paraId="6ACF0FFC" w14:textId="78926687" w:rsidR="00C376C9" w:rsidRDefault="00865501" w:rsidP="003A71A0">
      <w:pPr>
        <w:pStyle w:val="ListParagraph"/>
        <w:numPr>
          <w:ilvl w:val="0"/>
          <w:numId w:val="2"/>
        </w:numPr>
      </w:pPr>
      <w:r>
        <w:t xml:space="preserve">Timely </w:t>
      </w:r>
      <w:r w:rsidR="00796065">
        <w:t xml:space="preserve">and accurate </w:t>
      </w:r>
      <w:r>
        <w:t>completion of LOC screenings, when r</w:t>
      </w:r>
      <w:r w:rsidR="0040249B">
        <w:t xml:space="preserve">equired </w:t>
      </w:r>
    </w:p>
    <w:p w14:paraId="0D669BEC" w14:textId="5777A6D9" w:rsidR="00CD2A24" w:rsidRDefault="00C376C9" w:rsidP="003A71A0">
      <w:pPr>
        <w:pStyle w:val="ListParagraph"/>
        <w:numPr>
          <w:ilvl w:val="0"/>
          <w:numId w:val="2"/>
        </w:numPr>
      </w:pPr>
      <w:r>
        <w:t xml:space="preserve">Timely </w:t>
      </w:r>
      <w:r w:rsidR="00796065">
        <w:t xml:space="preserve">and accurate </w:t>
      </w:r>
      <w:r>
        <w:t xml:space="preserve">completion of </w:t>
      </w:r>
      <w:r w:rsidR="00CD2A24">
        <w:t>incident reporting</w:t>
      </w:r>
      <w:r w:rsidR="00B872CB">
        <w:t>, required</w:t>
      </w:r>
      <w:r w:rsidR="00CD2A24">
        <w:t xml:space="preserve"> follow up</w:t>
      </w:r>
      <w:r w:rsidR="00B872CB">
        <w:t xml:space="preserve"> and CAPs</w:t>
      </w:r>
    </w:p>
    <w:p w14:paraId="650881E1" w14:textId="77777777" w:rsidR="006E4C17" w:rsidRDefault="00935C59" w:rsidP="006E4C17">
      <w:pPr>
        <w:pStyle w:val="ListParagraph"/>
        <w:numPr>
          <w:ilvl w:val="0"/>
          <w:numId w:val="2"/>
        </w:numPr>
      </w:pPr>
      <w:r>
        <w:t xml:space="preserve">Timely </w:t>
      </w:r>
      <w:r w:rsidR="00796065">
        <w:t xml:space="preserve">and accurate </w:t>
      </w:r>
      <w:r>
        <w:t>completion of mortality review activities</w:t>
      </w:r>
    </w:p>
    <w:p w14:paraId="18B2FBA3" w14:textId="76BA52D4" w:rsidR="00935C59" w:rsidRDefault="00B4120E" w:rsidP="006E4C17">
      <w:pPr>
        <w:pStyle w:val="ListParagraph"/>
        <w:numPr>
          <w:ilvl w:val="0"/>
          <w:numId w:val="2"/>
        </w:numPr>
      </w:pPr>
      <w:r>
        <w:lastRenderedPageBreak/>
        <w:t>Compliance with case manager case load sizes</w:t>
      </w:r>
    </w:p>
    <w:p w14:paraId="2DB5E6BF" w14:textId="50160AA8" w:rsidR="003A71A0" w:rsidRDefault="003A71A0" w:rsidP="003A71A0">
      <w:pPr>
        <w:pStyle w:val="ListParagraph"/>
        <w:numPr>
          <w:ilvl w:val="0"/>
          <w:numId w:val="2"/>
        </w:numPr>
      </w:pPr>
      <w:r w:rsidDel="00566CA1">
        <w:t>T</w:t>
      </w:r>
      <w:r w:rsidDel="00350634">
        <w:t xml:space="preserve">raining </w:t>
      </w:r>
      <w:proofErr w:type="gramStart"/>
      <w:r w:rsidDel="00350634">
        <w:t>of</w:t>
      </w:r>
      <w:proofErr w:type="gramEnd"/>
      <w:r w:rsidDel="00350634">
        <w:t xml:space="preserve"> Case Managers</w:t>
      </w:r>
      <w:r w:rsidR="00655493">
        <w:t xml:space="preserve"> </w:t>
      </w:r>
    </w:p>
    <w:p w14:paraId="745BACDF" w14:textId="76278BBE" w:rsidR="00A01FA4" w:rsidRDefault="00C95DD4" w:rsidP="00A24A46">
      <w:r>
        <w:t xml:space="preserve">FSSA anticipates that the service level agreements will be structured as </w:t>
      </w:r>
      <w:r w:rsidR="009C718B">
        <w:t>outlined in the bullets and table below:</w:t>
      </w:r>
    </w:p>
    <w:p w14:paraId="2F36B5BC" w14:textId="38A174D3" w:rsidR="00C95DD4" w:rsidRDefault="00C95DD4" w:rsidP="00C95DD4">
      <w:pPr>
        <w:pStyle w:val="ListParagraph"/>
        <w:numPr>
          <w:ilvl w:val="0"/>
          <w:numId w:val="4"/>
        </w:numPr>
      </w:pPr>
      <w:r>
        <w:t>Contractor compliance with service level agreements will be measured quarterly</w:t>
      </w:r>
      <w:r w:rsidR="00200F47">
        <w:t xml:space="preserve">; in other words, the measurement period will </w:t>
      </w:r>
      <w:r w:rsidR="00AA5CFA">
        <w:t>be a</w:t>
      </w:r>
      <w:r w:rsidR="00200F47">
        <w:t xml:space="preserve"> contract quarter.</w:t>
      </w:r>
    </w:p>
    <w:p w14:paraId="6A0CBFCE" w14:textId="6628ED0F" w:rsidR="00200F47" w:rsidRDefault="00200F47" w:rsidP="00AA2D53">
      <w:pPr>
        <w:pStyle w:val="ListParagraph"/>
        <w:numPr>
          <w:ilvl w:val="0"/>
          <w:numId w:val="4"/>
        </w:numPr>
      </w:pPr>
      <w:r>
        <w:t xml:space="preserve">For any </w:t>
      </w:r>
      <w:r w:rsidR="00193918">
        <w:t xml:space="preserve">service level agreement </w:t>
      </w:r>
      <w:r w:rsidR="001C2BCF">
        <w:t xml:space="preserve">for any </w:t>
      </w:r>
      <w:r>
        <w:t>given quarter, t</w:t>
      </w:r>
      <w:r w:rsidR="00AA2D53" w:rsidRPr="00AA2D53">
        <w:t xml:space="preserve">he Contractor is eligible to receive a quarterly performance-based payment </w:t>
      </w:r>
      <w:r>
        <w:t>if it meets the service level agreement for that quarter.</w:t>
      </w:r>
    </w:p>
    <w:p w14:paraId="2EDA1027" w14:textId="7196F216" w:rsidR="00193918" w:rsidRDefault="00AA2D53" w:rsidP="00AA2D53">
      <w:pPr>
        <w:pStyle w:val="ListParagraph"/>
        <w:numPr>
          <w:ilvl w:val="0"/>
          <w:numId w:val="4"/>
        </w:numPr>
      </w:pPr>
      <w:r w:rsidRPr="00AA2D53">
        <w:t xml:space="preserve">To receive this quarterly performance-based payment, the Contractor must </w:t>
      </w:r>
      <w:r w:rsidR="00193918">
        <w:t>have met or exceeded the service level agreement for that quarter.</w:t>
      </w:r>
    </w:p>
    <w:p w14:paraId="7D981636" w14:textId="1CAD8585" w:rsidR="009F6BB7" w:rsidRDefault="009F6BB7" w:rsidP="00AA2D53">
      <w:pPr>
        <w:pStyle w:val="ListParagraph"/>
        <w:numPr>
          <w:ilvl w:val="0"/>
          <w:numId w:val="4"/>
        </w:numPr>
      </w:pPr>
      <w:r>
        <w:t xml:space="preserve">FSSA </w:t>
      </w:r>
      <w:r w:rsidR="00AA2D53" w:rsidRPr="00AA2D53">
        <w:t xml:space="preserve">will calculate the Contractor’s performance at the close of each quarter to determine if the Contractor will be awarded the performance-based payment. </w:t>
      </w:r>
    </w:p>
    <w:p w14:paraId="2E425D9E" w14:textId="3DA9D00A" w:rsidR="009C718B" w:rsidRDefault="00CA4506" w:rsidP="009C718B">
      <w:pPr>
        <w:pStyle w:val="ListParagraph"/>
        <w:numPr>
          <w:ilvl w:val="0"/>
          <w:numId w:val="4"/>
        </w:numPr>
      </w:pPr>
      <w:r>
        <w:t xml:space="preserve">FSSA will then notify the Contractor whether </w:t>
      </w:r>
      <w:r w:rsidR="007B16BA">
        <w:t>it will be receiving a payout and, if so, the amount of that payout.</w:t>
      </w:r>
    </w:p>
    <w:p w14:paraId="3670EA60" w14:textId="667FC311" w:rsidR="009653FD" w:rsidRDefault="009653FD" w:rsidP="009C718B">
      <w:pPr>
        <w:pStyle w:val="ListParagraph"/>
        <w:numPr>
          <w:ilvl w:val="0"/>
          <w:numId w:val="4"/>
        </w:numPr>
      </w:pPr>
      <w:r>
        <w:t>FSSA will then make the payment to the Contractor.</w:t>
      </w:r>
    </w:p>
    <w:tbl>
      <w:tblPr>
        <w:tblStyle w:val="TableGrid"/>
        <w:tblW w:w="10080" w:type="dxa"/>
        <w:tblInd w:w="85" w:type="dxa"/>
        <w:tblLook w:val="04A0" w:firstRow="1" w:lastRow="0" w:firstColumn="1" w:lastColumn="0" w:noHBand="0" w:noVBand="1"/>
      </w:tblPr>
      <w:tblGrid>
        <w:gridCol w:w="4507"/>
        <w:gridCol w:w="1389"/>
        <w:gridCol w:w="1334"/>
        <w:gridCol w:w="1389"/>
        <w:gridCol w:w="1461"/>
      </w:tblGrid>
      <w:tr w:rsidR="004D2BBC" w:rsidRPr="00C5765F" w14:paraId="1936D665" w14:textId="77777777" w:rsidTr="004D2BBC">
        <w:tc>
          <w:tcPr>
            <w:tcW w:w="6300" w:type="dxa"/>
            <w:vMerge w:val="restart"/>
            <w:shd w:val="clear" w:color="auto" w:fill="153D63" w:themeFill="text2" w:themeFillTint="E6"/>
            <w:vAlign w:val="center"/>
          </w:tcPr>
          <w:p w14:paraId="42CBDCFC" w14:textId="77777777" w:rsidR="004D2BBC" w:rsidRPr="00C5765F" w:rsidRDefault="004D2BBC">
            <w:pPr>
              <w:jc w:val="center"/>
              <w:rPr>
                <w:b/>
                <w:bCs/>
                <w:sz w:val="20"/>
                <w:szCs w:val="20"/>
              </w:rPr>
            </w:pPr>
            <w:r w:rsidRPr="00C5765F">
              <w:rPr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868" w:type="dxa"/>
            <w:gridSpan w:val="4"/>
            <w:shd w:val="clear" w:color="auto" w:fill="153D63" w:themeFill="text2" w:themeFillTint="E6"/>
          </w:tcPr>
          <w:p w14:paraId="21E99647" w14:textId="77777777" w:rsidR="004D2BBC" w:rsidRPr="00C5765F" w:rsidRDefault="004D2BBC">
            <w:pPr>
              <w:jc w:val="center"/>
              <w:rPr>
                <w:b/>
                <w:bCs/>
                <w:sz w:val="20"/>
                <w:szCs w:val="20"/>
              </w:rPr>
            </w:pPr>
            <w:r w:rsidRPr="00C5765F">
              <w:rPr>
                <w:b/>
                <w:bCs/>
                <w:sz w:val="20"/>
                <w:szCs w:val="20"/>
              </w:rPr>
              <w:t>Performance Measurement Period</w:t>
            </w:r>
          </w:p>
        </w:tc>
      </w:tr>
      <w:tr w:rsidR="004D2BBC" w14:paraId="072F3179" w14:textId="77777777" w:rsidTr="004D2BBC">
        <w:tc>
          <w:tcPr>
            <w:tcW w:w="6300" w:type="dxa"/>
            <w:vMerge/>
          </w:tcPr>
          <w:p w14:paraId="67CBA7CC" w14:textId="77777777" w:rsidR="004D2BBC" w:rsidRPr="00A9307D" w:rsidRDefault="004D2BBC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4C94D8" w:themeFill="text2" w:themeFillTint="80"/>
            <w:vAlign w:val="center"/>
          </w:tcPr>
          <w:p w14:paraId="0AF1256A" w14:textId="77777777" w:rsidR="004D2BBC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1:</w:t>
            </w:r>
          </w:p>
          <w:p w14:paraId="603500FD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>Months 1-3</w:t>
            </w:r>
          </w:p>
        </w:tc>
        <w:tc>
          <w:tcPr>
            <w:tcW w:w="1620" w:type="dxa"/>
            <w:shd w:val="clear" w:color="auto" w:fill="4C94D8" w:themeFill="text2" w:themeFillTint="80"/>
            <w:vAlign w:val="center"/>
          </w:tcPr>
          <w:p w14:paraId="6C73CD90" w14:textId="77777777" w:rsidR="004D2BBC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2:</w:t>
            </w:r>
          </w:p>
          <w:p w14:paraId="31A1FD7B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>Months 4-6</w:t>
            </w:r>
          </w:p>
        </w:tc>
        <w:tc>
          <w:tcPr>
            <w:tcW w:w="1710" w:type="dxa"/>
            <w:shd w:val="clear" w:color="auto" w:fill="4C94D8" w:themeFill="text2" w:themeFillTint="80"/>
            <w:vAlign w:val="center"/>
          </w:tcPr>
          <w:p w14:paraId="2E862E61" w14:textId="77777777" w:rsidR="004D2BBC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3:</w:t>
            </w:r>
          </w:p>
          <w:p w14:paraId="6CADF8C8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 xml:space="preserve">Months </w:t>
            </w:r>
            <w:r>
              <w:rPr>
                <w:sz w:val="18"/>
                <w:szCs w:val="18"/>
              </w:rPr>
              <w:t>7-9</w:t>
            </w:r>
          </w:p>
        </w:tc>
        <w:tc>
          <w:tcPr>
            <w:tcW w:w="1828" w:type="dxa"/>
            <w:shd w:val="clear" w:color="auto" w:fill="4C94D8" w:themeFill="text2" w:themeFillTint="80"/>
            <w:vAlign w:val="center"/>
          </w:tcPr>
          <w:p w14:paraId="692DFDAD" w14:textId="77777777" w:rsidR="004D2BBC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4:</w:t>
            </w:r>
          </w:p>
          <w:p w14:paraId="2469BAC7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 xml:space="preserve">Months </w:t>
            </w:r>
            <w:r>
              <w:rPr>
                <w:sz w:val="18"/>
                <w:szCs w:val="18"/>
              </w:rPr>
              <w:t>10-12</w:t>
            </w:r>
          </w:p>
        </w:tc>
      </w:tr>
      <w:tr w:rsidR="004D2BBC" w14:paraId="03491000" w14:textId="77777777" w:rsidTr="004D2BBC">
        <w:tc>
          <w:tcPr>
            <w:tcW w:w="6300" w:type="dxa"/>
            <w:shd w:val="clear" w:color="auto" w:fill="DAE9F7" w:themeFill="text2" w:themeFillTint="1A"/>
          </w:tcPr>
          <w:p w14:paraId="3889A5E1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Performance Measures and Targets for Contract Year Finalized</w:t>
            </w:r>
          </w:p>
        </w:tc>
        <w:tc>
          <w:tcPr>
            <w:tcW w:w="6868" w:type="dxa"/>
            <w:gridSpan w:val="4"/>
            <w:shd w:val="clear" w:color="auto" w:fill="DAE9F7" w:themeFill="text2" w:themeFillTint="1A"/>
          </w:tcPr>
          <w:p w14:paraId="13AD880D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>At least 90 days prior to the first day of the contract year</w:t>
            </w:r>
            <w:r>
              <w:rPr>
                <w:sz w:val="20"/>
                <w:szCs w:val="20"/>
              </w:rPr>
              <w:t>*</w:t>
            </w:r>
          </w:p>
        </w:tc>
      </w:tr>
      <w:tr w:rsidR="004D2BBC" w14:paraId="5C740D41" w14:textId="77777777" w:rsidTr="004D2BBC">
        <w:tc>
          <w:tcPr>
            <w:tcW w:w="6300" w:type="dxa"/>
          </w:tcPr>
          <w:p w14:paraId="24F78919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 xml:space="preserve">Measurement Period </w:t>
            </w:r>
          </w:p>
        </w:tc>
        <w:tc>
          <w:tcPr>
            <w:tcW w:w="1710" w:type="dxa"/>
            <w:vAlign w:val="center"/>
          </w:tcPr>
          <w:p w14:paraId="4753474C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1</w:t>
            </w:r>
          </w:p>
        </w:tc>
        <w:tc>
          <w:tcPr>
            <w:tcW w:w="1620" w:type="dxa"/>
            <w:vAlign w:val="center"/>
          </w:tcPr>
          <w:p w14:paraId="60E2F677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2</w:t>
            </w:r>
          </w:p>
        </w:tc>
        <w:tc>
          <w:tcPr>
            <w:tcW w:w="1710" w:type="dxa"/>
            <w:vAlign w:val="center"/>
          </w:tcPr>
          <w:p w14:paraId="7E16147C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3</w:t>
            </w:r>
          </w:p>
        </w:tc>
        <w:tc>
          <w:tcPr>
            <w:tcW w:w="1828" w:type="dxa"/>
            <w:vAlign w:val="center"/>
          </w:tcPr>
          <w:p w14:paraId="301CD069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4</w:t>
            </w:r>
          </w:p>
        </w:tc>
      </w:tr>
      <w:tr w:rsidR="004D2BBC" w14:paraId="407376AF" w14:textId="77777777" w:rsidTr="004D2BBC">
        <w:tc>
          <w:tcPr>
            <w:tcW w:w="6300" w:type="dxa"/>
          </w:tcPr>
          <w:p w14:paraId="6B2D70E5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CMO Submission of Performance Data</w:t>
            </w:r>
          </w:p>
        </w:tc>
        <w:tc>
          <w:tcPr>
            <w:tcW w:w="6868" w:type="dxa"/>
            <w:gridSpan w:val="4"/>
            <w:vAlign w:val="center"/>
          </w:tcPr>
          <w:p w14:paraId="4950EBD0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 xml:space="preserve">Within </w:t>
            </w:r>
            <w:r w:rsidRPr="002342F8">
              <w:rPr>
                <w:b/>
                <w:bCs/>
                <w:sz w:val="20"/>
                <w:szCs w:val="20"/>
              </w:rPr>
              <w:t xml:space="preserve">30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4D2BBC" w14:paraId="78801B15" w14:textId="77777777" w:rsidTr="004D2BBC">
        <w:tc>
          <w:tcPr>
            <w:tcW w:w="6300" w:type="dxa"/>
          </w:tcPr>
          <w:p w14:paraId="289CF589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FSSA Review and Analysis of Performance Data</w:t>
            </w:r>
          </w:p>
        </w:tc>
        <w:tc>
          <w:tcPr>
            <w:tcW w:w="6868" w:type="dxa"/>
            <w:gridSpan w:val="4"/>
            <w:vAlign w:val="center"/>
          </w:tcPr>
          <w:p w14:paraId="28845A12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2342F8">
              <w:rPr>
                <w:b/>
                <w:bCs/>
                <w:sz w:val="20"/>
                <w:szCs w:val="20"/>
              </w:rPr>
              <w:t xml:space="preserve">31-60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4D2BBC" w14:paraId="45F88BDD" w14:textId="77777777" w:rsidTr="004D2BBC">
        <w:tc>
          <w:tcPr>
            <w:tcW w:w="6300" w:type="dxa"/>
          </w:tcPr>
          <w:p w14:paraId="659BFDD2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 xml:space="preserve">FSSA Publication of Performance Data </w:t>
            </w:r>
          </w:p>
        </w:tc>
        <w:tc>
          <w:tcPr>
            <w:tcW w:w="6868" w:type="dxa"/>
            <w:gridSpan w:val="4"/>
            <w:vAlign w:val="center"/>
          </w:tcPr>
          <w:p w14:paraId="2C65519C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 xml:space="preserve">Within </w:t>
            </w:r>
            <w:r w:rsidRPr="002342F8">
              <w:rPr>
                <w:b/>
                <w:bCs/>
                <w:sz w:val="20"/>
                <w:szCs w:val="20"/>
              </w:rPr>
              <w:t xml:space="preserve">90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4D2BBC" w14:paraId="6AE03E56" w14:textId="77777777" w:rsidTr="004D2BBC">
        <w:tc>
          <w:tcPr>
            <w:tcW w:w="6300" w:type="dxa"/>
          </w:tcPr>
          <w:p w14:paraId="6B1A6DFB" w14:textId="77777777" w:rsidR="004D2BBC" w:rsidRPr="00B962D4" w:rsidRDefault="004D2BBC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FSSA Payouts/Awards Made for Performance Measurement Period</w:t>
            </w:r>
          </w:p>
        </w:tc>
        <w:tc>
          <w:tcPr>
            <w:tcW w:w="6868" w:type="dxa"/>
            <w:gridSpan w:val="4"/>
            <w:vAlign w:val="center"/>
          </w:tcPr>
          <w:p w14:paraId="6FFA2812" w14:textId="77777777" w:rsidR="004D2BBC" w:rsidRPr="00A9307D" w:rsidRDefault="004D2BBC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>Within</w:t>
            </w:r>
            <w:r w:rsidRPr="00553B15">
              <w:rPr>
                <w:b/>
                <w:bCs/>
                <w:sz w:val="20"/>
                <w:szCs w:val="20"/>
              </w:rPr>
              <w:t xml:space="preserve"> 120 days</w:t>
            </w:r>
            <w:r w:rsidRPr="002342F8">
              <w:rPr>
                <w:b/>
                <w:bCs/>
                <w:sz w:val="20"/>
                <w:szCs w:val="20"/>
              </w:rPr>
              <w:t xml:space="preserve">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</w:tbl>
    <w:p w14:paraId="37C45690" w14:textId="77777777" w:rsidR="004D2BBC" w:rsidRPr="008C5901" w:rsidRDefault="004D2BBC" w:rsidP="004D2BBC">
      <w:pPr>
        <w:spacing w:after="0"/>
        <w:rPr>
          <w:i/>
          <w:iCs/>
          <w:sz w:val="18"/>
          <w:szCs w:val="18"/>
        </w:rPr>
      </w:pPr>
      <w:r w:rsidRPr="008C5901">
        <w:rPr>
          <w:i/>
          <w:iCs/>
          <w:sz w:val="18"/>
          <w:szCs w:val="18"/>
        </w:rPr>
        <w:t>*Note: Performance measures and targets will remain in place for the entire Contract Year.</w:t>
      </w:r>
      <w:r>
        <w:rPr>
          <w:i/>
          <w:iCs/>
          <w:sz w:val="18"/>
          <w:szCs w:val="18"/>
        </w:rPr>
        <w:t xml:space="preserve"> FSSA would notify the CMOs of the new measures and targets at least 90 days prior to the start of the measurement period to which they apply.</w:t>
      </w:r>
    </w:p>
    <w:p w14:paraId="40444591" w14:textId="77777777" w:rsidR="00D62C19" w:rsidRDefault="00D62C19" w:rsidP="00A24A46">
      <w:pPr>
        <w:spacing w:after="100"/>
      </w:pPr>
    </w:p>
    <w:p w14:paraId="2C27A4EE" w14:textId="78EFF5BE" w:rsidR="00C95DD4" w:rsidRDefault="00C95DD4" w:rsidP="00C95DD4">
      <w:r>
        <w:t xml:space="preserve">FSSA reserves the right to change these above-noted focus areas and timeframes </w:t>
      </w:r>
      <w:r w:rsidR="007B16BA">
        <w:t>prior to</w:t>
      </w:r>
      <w:r>
        <w:t xml:space="preserve"> contract award.</w:t>
      </w:r>
    </w:p>
    <w:p w14:paraId="5DF75673" w14:textId="77777777" w:rsidR="000B0EC0" w:rsidRPr="00C65BB3" w:rsidRDefault="000B0EC0" w:rsidP="000B0EC0">
      <w:pPr>
        <w:rPr>
          <w:b/>
          <w:bCs/>
        </w:rPr>
      </w:pPr>
      <w:r w:rsidRPr="00C65BB3">
        <w:rPr>
          <w:b/>
          <w:bCs/>
        </w:rPr>
        <w:t>Non-Financial Incentives</w:t>
      </w:r>
    </w:p>
    <w:p w14:paraId="74BC6C7D" w14:textId="7325D4FA" w:rsidR="000B0EC0" w:rsidRDefault="000B0EC0" w:rsidP="000B0EC0">
      <w:r>
        <w:t xml:space="preserve">The Contractor will be eligible to receive non-financial incentives. FSSA will design and award these non-financial incentives. </w:t>
      </w:r>
      <w:r w:rsidR="004C49CB">
        <w:t xml:space="preserve">These non-financial incentives </w:t>
      </w:r>
      <w:r w:rsidR="0066179A">
        <w:t xml:space="preserve">will </w:t>
      </w:r>
      <w:r w:rsidR="004C49CB">
        <w:t xml:space="preserve">be linked to </w:t>
      </w:r>
      <w:r w:rsidR="004C49CB">
        <w:lastRenderedPageBreak/>
        <w:t xml:space="preserve">performance measures and/or targets that differ from those used in the service level agreements. </w:t>
      </w:r>
      <w:r>
        <w:t>Non-financial incentives may include, but may not be limited to:</w:t>
      </w:r>
    </w:p>
    <w:p w14:paraId="7B9AFB21" w14:textId="77662955" w:rsidR="000B0EC0" w:rsidRDefault="000B0EC0" w:rsidP="000B0EC0">
      <w:pPr>
        <w:pStyle w:val="ListParagraph"/>
        <w:numPr>
          <w:ilvl w:val="0"/>
          <w:numId w:val="1"/>
        </w:numPr>
      </w:pPr>
      <w:r>
        <w:t xml:space="preserve">Special designations (e.g., blue ribbon or 4-star designation) awarded </w:t>
      </w:r>
      <w:r w:rsidR="00BB318F">
        <w:t xml:space="preserve">to </w:t>
      </w:r>
      <w:r>
        <w:t xml:space="preserve">CMOs that have achieved specified performance levels. </w:t>
      </w:r>
    </w:p>
    <w:p w14:paraId="03A12DC8" w14:textId="4D9A6D7E" w:rsidR="000B0EC0" w:rsidRDefault="000B0EC0" w:rsidP="000B0EC0">
      <w:pPr>
        <w:pStyle w:val="ListParagraph"/>
        <w:numPr>
          <w:ilvl w:val="0"/>
          <w:numId w:val="1"/>
        </w:numPr>
      </w:pPr>
      <w:r>
        <w:t xml:space="preserve">Preferential status for auto-assignment of </w:t>
      </w:r>
      <w:proofErr w:type="gramStart"/>
      <w:r>
        <w:t>Individuals</w:t>
      </w:r>
      <w:proofErr w:type="gramEnd"/>
      <w:r>
        <w:t xml:space="preserve"> </w:t>
      </w:r>
      <w:r w:rsidR="009B43BB">
        <w:t xml:space="preserve">when </w:t>
      </w:r>
      <w:r w:rsidR="006E4C17">
        <w:t>necessary,</w:t>
      </w:r>
      <w:r w:rsidR="009B43BB">
        <w:t xml:space="preserve"> due to extenuating circumstances where the individual is unable or unwilling to </w:t>
      </w:r>
      <w:r w:rsidR="00E14658">
        <w:t>choose a case management organization</w:t>
      </w:r>
      <w:r>
        <w:t xml:space="preserve">, such that the Contractor is more likely than other Contractors in the same geographic area to be assigned an Individual </w:t>
      </w:r>
    </w:p>
    <w:p w14:paraId="596610D2" w14:textId="1226583E" w:rsidR="000B0EC0" w:rsidRDefault="000B0EC0" w:rsidP="000B0EC0">
      <w:pPr>
        <w:pStyle w:val="ListParagraph"/>
        <w:numPr>
          <w:ilvl w:val="0"/>
          <w:numId w:val="1"/>
        </w:numPr>
      </w:pPr>
      <w:r>
        <w:t>Reduced reporting or other administrative requirements, to recognize, for example, consistent and sustained high performance levels</w:t>
      </w:r>
      <w:r w:rsidR="11C2403F">
        <w:t>.</w:t>
      </w:r>
    </w:p>
    <w:p w14:paraId="3BA026D9" w14:textId="05D03BB9" w:rsidR="000B0EC0" w:rsidRDefault="000B0EC0" w:rsidP="000B0EC0">
      <w:r>
        <w:t>FSSA anticipates that the non-financial incentive programs will be structured as follows:</w:t>
      </w:r>
    </w:p>
    <w:p w14:paraId="09FF3584" w14:textId="781A5534" w:rsidR="000B0EC0" w:rsidRDefault="000B0EC0" w:rsidP="000B0EC0">
      <w:pPr>
        <w:pStyle w:val="ListParagraph"/>
        <w:numPr>
          <w:ilvl w:val="0"/>
          <w:numId w:val="4"/>
        </w:numPr>
      </w:pPr>
      <w:r>
        <w:t xml:space="preserve">Contractor </w:t>
      </w:r>
      <w:r w:rsidR="005838BD">
        <w:t xml:space="preserve">performance </w:t>
      </w:r>
      <w:r>
        <w:t>will be measured quarterly</w:t>
      </w:r>
      <w:r w:rsidR="005838BD">
        <w:t xml:space="preserve"> or annually</w:t>
      </w:r>
      <w:r>
        <w:t xml:space="preserve">; in other words, the measurement period will </w:t>
      </w:r>
      <w:r w:rsidR="0066179A">
        <w:t xml:space="preserve">be </w:t>
      </w:r>
      <w:r>
        <w:t>a contract quarter</w:t>
      </w:r>
      <w:r w:rsidR="005838BD">
        <w:t xml:space="preserve"> or a contract year</w:t>
      </w:r>
      <w:r>
        <w:t>.</w:t>
      </w:r>
    </w:p>
    <w:p w14:paraId="1EB4C4E6" w14:textId="68605C19" w:rsidR="000B0EC0" w:rsidRDefault="000B0EC0" w:rsidP="000B0EC0">
      <w:pPr>
        <w:pStyle w:val="ListParagraph"/>
        <w:numPr>
          <w:ilvl w:val="0"/>
          <w:numId w:val="4"/>
        </w:numPr>
      </w:pPr>
      <w:r>
        <w:t xml:space="preserve">For any </w:t>
      </w:r>
      <w:r w:rsidR="00074475">
        <w:t xml:space="preserve">given non-financial reward program and </w:t>
      </w:r>
      <w:r w:rsidR="005838BD">
        <w:t>measurement period</w:t>
      </w:r>
      <w:r>
        <w:t>, t</w:t>
      </w:r>
      <w:r w:rsidRPr="00AA2D53">
        <w:t xml:space="preserve">he Contractor is eligible to receive </w:t>
      </w:r>
      <w:r w:rsidR="00074475">
        <w:t xml:space="preserve">a </w:t>
      </w:r>
      <w:r w:rsidR="005838BD">
        <w:t xml:space="preserve">non-financial reward </w:t>
      </w:r>
      <w:r>
        <w:t xml:space="preserve">if it </w:t>
      </w:r>
      <w:r w:rsidR="005838BD">
        <w:t xml:space="preserve">achieves the performance target </w:t>
      </w:r>
      <w:r>
        <w:t xml:space="preserve">for that </w:t>
      </w:r>
      <w:r w:rsidR="005838BD">
        <w:t>measurement period</w:t>
      </w:r>
      <w:r>
        <w:t>.</w:t>
      </w:r>
    </w:p>
    <w:p w14:paraId="17F26B06" w14:textId="71926271" w:rsidR="000B0EC0" w:rsidRDefault="000B0EC0" w:rsidP="000B0EC0">
      <w:pPr>
        <w:pStyle w:val="ListParagraph"/>
        <w:numPr>
          <w:ilvl w:val="0"/>
          <w:numId w:val="4"/>
        </w:numPr>
      </w:pPr>
      <w:r w:rsidRPr="00AA2D53">
        <w:t xml:space="preserve">To receive this </w:t>
      </w:r>
      <w:r w:rsidR="00357882">
        <w:t>non-financial incentive</w:t>
      </w:r>
      <w:r w:rsidRPr="00AA2D53">
        <w:t xml:space="preserve">, the Contractor must </w:t>
      </w:r>
      <w:r>
        <w:t xml:space="preserve">have met or exceeded the </w:t>
      </w:r>
      <w:r w:rsidR="004B0A44">
        <w:t>performance target</w:t>
      </w:r>
      <w:r>
        <w:t xml:space="preserve"> for that </w:t>
      </w:r>
      <w:r w:rsidR="005838BD">
        <w:t>measurement period</w:t>
      </w:r>
      <w:r>
        <w:t>.</w:t>
      </w:r>
    </w:p>
    <w:p w14:paraId="4A0072E3" w14:textId="6C0B0C3D" w:rsidR="000B0EC0" w:rsidRDefault="000B0EC0" w:rsidP="000B0EC0">
      <w:pPr>
        <w:pStyle w:val="ListParagraph"/>
        <w:numPr>
          <w:ilvl w:val="0"/>
          <w:numId w:val="4"/>
        </w:numPr>
      </w:pPr>
      <w:r>
        <w:t xml:space="preserve">FSSA </w:t>
      </w:r>
      <w:r w:rsidRPr="00AA2D53">
        <w:t xml:space="preserve">will calculate the Contractor’s performance at the close of each </w:t>
      </w:r>
      <w:r w:rsidR="005838BD">
        <w:t>measurement period</w:t>
      </w:r>
      <w:r w:rsidR="005838BD" w:rsidRPr="00AA2D53">
        <w:t xml:space="preserve"> </w:t>
      </w:r>
      <w:r w:rsidRPr="00AA2D53">
        <w:t xml:space="preserve">to determine if the Contractor will be awarded the </w:t>
      </w:r>
      <w:r w:rsidR="00357882">
        <w:t>non-financial incentive</w:t>
      </w:r>
      <w:r w:rsidRPr="00AA2D53">
        <w:t xml:space="preserve">. </w:t>
      </w:r>
    </w:p>
    <w:p w14:paraId="532C328E" w14:textId="5DFF2065" w:rsidR="003F7C18" w:rsidRDefault="000B0EC0" w:rsidP="008C7DCF">
      <w:pPr>
        <w:pStyle w:val="ListParagraph"/>
        <w:numPr>
          <w:ilvl w:val="0"/>
          <w:numId w:val="4"/>
        </w:numPr>
      </w:pPr>
      <w:r>
        <w:t xml:space="preserve">FSSA will then notify the Contractor whether it will be receiving </w:t>
      </w:r>
      <w:r w:rsidR="00263B63">
        <w:t xml:space="preserve">the non-financial incentive </w:t>
      </w:r>
      <w:r>
        <w:t xml:space="preserve">and, if so, the </w:t>
      </w:r>
      <w:r w:rsidR="00074475">
        <w:t xml:space="preserve">details related to </w:t>
      </w:r>
      <w:r>
        <w:t xml:space="preserve">that </w:t>
      </w:r>
      <w:r w:rsidR="00263B63">
        <w:t>incentive</w:t>
      </w:r>
      <w:r w:rsidR="00E0322E">
        <w:t>.</w:t>
      </w:r>
    </w:p>
    <w:p w14:paraId="05987FB5" w14:textId="117A704C" w:rsidR="00737A9B" w:rsidRDefault="00737A9B" w:rsidP="00737A9B">
      <w:pPr>
        <w:pStyle w:val="ListParagraph"/>
        <w:numPr>
          <w:ilvl w:val="0"/>
          <w:numId w:val="4"/>
        </w:numPr>
      </w:pPr>
      <w:r>
        <w:t>FSSA will then institute the non-financial reward for the Contractor.</w:t>
      </w:r>
    </w:p>
    <w:tbl>
      <w:tblPr>
        <w:tblStyle w:val="TableGrid"/>
        <w:tblW w:w="10080" w:type="dxa"/>
        <w:tblInd w:w="85" w:type="dxa"/>
        <w:tblLook w:val="04A0" w:firstRow="1" w:lastRow="0" w:firstColumn="1" w:lastColumn="0" w:noHBand="0" w:noVBand="1"/>
      </w:tblPr>
      <w:tblGrid>
        <w:gridCol w:w="4475"/>
        <w:gridCol w:w="1397"/>
        <w:gridCol w:w="1341"/>
        <w:gridCol w:w="1397"/>
        <w:gridCol w:w="1470"/>
      </w:tblGrid>
      <w:tr w:rsidR="003F7C18" w:rsidRPr="00C5765F" w14:paraId="6C0D6D04" w14:textId="77777777">
        <w:tc>
          <w:tcPr>
            <w:tcW w:w="6300" w:type="dxa"/>
            <w:vMerge w:val="restart"/>
            <w:shd w:val="clear" w:color="auto" w:fill="153D63" w:themeFill="text2" w:themeFillTint="E6"/>
            <w:vAlign w:val="center"/>
          </w:tcPr>
          <w:p w14:paraId="619C46ED" w14:textId="77777777" w:rsidR="003F7C18" w:rsidRPr="00C5765F" w:rsidRDefault="003F7C18">
            <w:pPr>
              <w:jc w:val="center"/>
              <w:rPr>
                <w:b/>
                <w:bCs/>
                <w:sz w:val="20"/>
                <w:szCs w:val="20"/>
              </w:rPr>
            </w:pPr>
            <w:r w:rsidRPr="00C5765F">
              <w:rPr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868" w:type="dxa"/>
            <w:gridSpan w:val="4"/>
            <w:shd w:val="clear" w:color="auto" w:fill="153D63" w:themeFill="text2" w:themeFillTint="E6"/>
          </w:tcPr>
          <w:p w14:paraId="4359EE07" w14:textId="77777777" w:rsidR="003F7C18" w:rsidRPr="00C5765F" w:rsidRDefault="003F7C18">
            <w:pPr>
              <w:jc w:val="center"/>
              <w:rPr>
                <w:b/>
                <w:bCs/>
                <w:sz w:val="20"/>
                <w:szCs w:val="20"/>
              </w:rPr>
            </w:pPr>
            <w:r w:rsidRPr="00C5765F">
              <w:rPr>
                <w:b/>
                <w:bCs/>
                <w:sz w:val="20"/>
                <w:szCs w:val="20"/>
              </w:rPr>
              <w:t>Performance Measurement Period</w:t>
            </w:r>
          </w:p>
        </w:tc>
      </w:tr>
      <w:tr w:rsidR="003F7C18" w14:paraId="1628A0AD" w14:textId="77777777">
        <w:tc>
          <w:tcPr>
            <w:tcW w:w="6300" w:type="dxa"/>
            <w:vMerge/>
          </w:tcPr>
          <w:p w14:paraId="5A1C1090" w14:textId="77777777" w:rsidR="003F7C18" w:rsidRPr="00A9307D" w:rsidRDefault="003F7C18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4C94D8" w:themeFill="text2" w:themeFillTint="80"/>
            <w:vAlign w:val="center"/>
          </w:tcPr>
          <w:p w14:paraId="01B4438D" w14:textId="77777777" w:rsidR="003F7C18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1:</w:t>
            </w:r>
          </w:p>
          <w:p w14:paraId="7B902686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>Months 1-3</w:t>
            </w:r>
          </w:p>
        </w:tc>
        <w:tc>
          <w:tcPr>
            <w:tcW w:w="1620" w:type="dxa"/>
            <w:shd w:val="clear" w:color="auto" w:fill="4C94D8" w:themeFill="text2" w:themeFillTint="80"/>
            <w:vAlign w:val="center"/>
          </w:tcPr>
          <w:p w14:paraId="6422ECA0" w14:textId="77777777" w:rsidR="003F7C18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2:</w:t>
            </w:r>
          </w:p>
          <w:p w14:paraId="2ADC8FF7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>Months 4-6</w:t>
            </w:r>
          </w:p>
        </w:tc>
        <w:tc>
          <w:tcPr>
            <w:tcW w:w="1710" w:type="dxa"/>
            <w:shd w:val="clear" w:color="auto" w:fill="4C94D8" w:themeFill="text2" w:themeFillTint="80"/>
            <w:vAlign w:val="center"/>
          </w:tcPr>
          <w:p w14:paraId="6A8BC866" w14:textId="77777777" w:rsidR="003F7C18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3:</w:t>
            </w:r>
          </w:p>
          <w:p w14:paraId="0F93F0D0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 xml:space="preserve">Months </w:t>
            </w:r>
            <w:r>
              <w:rPr>
                <w:sz w:val="18"/>
                <w:szCs w:val="18"/>
              </w:rPr>
              <w:t>7-9</w:t>
            </w:r>
          </w:p>
        </w:tc>
        <w:tc>
          <w:tcPr>
            <w:tcW w:w="1828" w:type="dxa"/>
            <w:shd w:val="clear" w:color="auto" w:fill="4C94D8" w:themeFill="text2" w:themeFillTint="80"/>
            <w:vAlign w:val="center"/>
          </w:tcPr>
          <w:p w14:paraId="398A036D" w14:textId="77777777" w:rsidR="003F7C18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 4:</w:t>
            </w:r>
          </w:p>
          <w:p w14:paraId="7EB23859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E40BD1">
              <w:rPr>
                <w:sz w:val="18"/>
                <w:szCs w:val="18"/>
              </w:rPr>
              <w:t xml:space="preserve">Months </w:t>
            </w:r>
            <w:r>
              <w:rPr>
                <w:sz w:val="18"/>
                <w:szCs w:val="18"/>
              </w:rPr>
              <w:t>10-12</w:t>
            </w:r>
          </w:p>
        </w:tc>
      </w:tr>
      <w:tr w:rsidR="003F7C18" w14:paraId="4EA58A8B" w14:textId="77777777">
        <w:tc>
          <w:tcPr>
            <w:tcW w:w="6300" w:type="dxa"/>
            <w:shd w:val="clear" w:color="auto" w:fill="DAE9F7" w:themeFill="text2" w:themeFillTint="1A"/>
          </w:tcPr>
          <w:p w14:paraId="2FA8C785" w14:textId="77777777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Performance Measures and Targets for Contract Year Finalized</w:t>
            </w:r>
          </w:p>
        </w:tc>
        <w:tc>
          <w:tcPr>
            <w:tcW w:w="6868" w:type="dxa"/>
            <w:gridSpan w:val="4"/>
            <w:shd w:val="clear" w:color="auto" w:fill="DAE9F7" w:themeFill="text2" w:themeFillTint="1A"/>
          </w:tcPr>
          <w:p w14:paraId="78FAF568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>At least 90 days prior to the first day of the contract year</w:t>
            </w:r>
            <w:r>
              <w:rPr>
                <w:sz w:val="20"/>
                <w:szCs w:val="20"/>
              </w:rPr>
              <w:t>*</w:t>
            </w:r>
          </w:p>
        </w:tc>
      </w:tr>
      <w:tr w:rsidR="003F7C18" w14:paraId="1E893020" w14:textId="77777777">
        <w:tc>
          <w:tcPr>
            <w:tcW w:w="6300" w:type="dxa"/>
          </w:tcPr>
          <w:p w14:paraId="3FC0E8C3" w14:textId="77777777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 xml:space="preserve">Measurement Period </w:t>
            </w:r>
          </w:p>
        </w:tc>
        <w:tc>
          <w:tcPr>
            <w:tcW w:w="1710" w:type="dxa"/>
            <w:vAlign w:val="center"/>
          </w:tcPr>
          <w:p w14:paraId="66AE5AC0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1</w:t>
            </w:r>
          </w:p>
        </w:tc>
        <w:tc>
          <w:tcPr>
            <w:tcW w:w="1620" w:type="dxa"/>
            <w:vAlign w:val="center"/>
          </w:tcPr>
          <w:p w14:paraId="49DC76C1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2</w:t>
            </w:r>
          </w:p>
        </w:tc>
        <w:tc>
          <w:tcPr>
            <w:tcW w:w="1710" w:type="dxa"/>
            <w:vAlign w:val="center"/>
          </w:tcPr>
          <w:p w14:paraId="29C49F62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3</w:t>
            </w:r>
          </w:p>
        </w:tc>
        <w:tc>
          <w:tcPr>
            <w:tcW w:w="1828" w:type="dxa"/>
            <w:vAlign w:val="center"/>
          </w:tcPr>
          <w:p w14:paraId="77234133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 4</w:t>
            </w:r>
          </w:p>
        </w:tc>
      </w:tr>
      <w:tr w:rsidR="003F7C18" w14:paraId="1448FC9B" w14:textId="77777777">
        <w:tc>
          <w:tcPr>
            <w:tcW w:w="6300" w:type="dxa"/>
          </w:tcPr>
          <w:p w14:paraId="1007F300" w14:textId="77777777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CMO Submission of Performance Data</w:t>
            </w:r>
          </w:p>
        </w:tc>
        <w:tc>
          <w:tcPr>
            <w:tcW w:w="6868" w:type="dxa"/>
            <w:gridSpan w:val="4"/>
            <w:vAlign w:val="center"/>
          </w:tcPr>
          <w:p w14:paraId="1C020365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 xml:space="preserve">Within </w:t>
            </w:r>
            <w:r w:rsidRPr="002342F8">
              <w:rPr>
                <w:b/>
                <w:bCs/>
                <w:sz w:val="20"/>
                <w:szCs w:val="20"/>
              </w:rPr>
              <w:t xml:space="preserve">30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3F7C18" w14:paraId="5ABCFF35" w14:textId="77777777">
        <w:tc>
          <w:tcPr>
            <w:tcW w:w="6300" w:type="dxa"/>
          </w:tcPr>
          <w:p w14:paraId="4F0F81A7" w14:textId="77777777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>FSSA Review and Analysis of Performance Data</w:t>
            </w:r>
          </w:p>
        </w:tc>
        <w:tc>
          <w:tcPr>
            <w:tcW w:w="6868" w:type="dxa"/>
            <w:gridSpan w:val="4"/>
            <w:vAlign w:val="center"/>
          </w:tcPr>
          <w:p w14:paraId="20EDB81D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2342F8">
              <w:rPr>
                <w:b/>
                <w:bCs/>
                <w:sz w:val="20"/>
                <w:szCs w:val="20"/>
              </w:rPr>
              <w:t xml:space="preserve">31-60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3F7C18" w14:paraId="6DAEC143" w14:textId="77777777">
        <w:tc>
          <w:tcPr>
            <w:tcW w:w="6300" w:type="dxa"/>
          </w:tcPr>
          <w:p w14:paraId="1F9789D2" w14:textId="77777777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 xml:space="preserve">FSSA Publication of Performance Data </w:t>
            </w:r>
          </w:p>
        </w:tc>
        <w:tc>
          <w:tcPr>
            <w:tcW w:w="6868" w:type="dxa"/>
            <w:gridSpan w:val="4"/>
            <w:vAlign w:val="center"/>
          </w:tcPr>
          <w:p w14:paraId="138EF08B" w14:textId="77777777" w:rsidR="003F7C18" w:rsidRPr="00A9307D" w:rsidRDefault="003F7C18">
            <w:pPr>
              <w:jc w:val="center"/>
              <w:rPr>
                <w:sz w:val="20"/>
                <w:szCs w:val="20"/>
              </w:rPr>
            </w:pPr>
            <w:r w:rsidRPr="00A9307D">
              <w:rPr>
                <w:sz w:val="20"/>
                <w:szCs w:val="20"/>
              </w:rPr>
              <w:t xml:space="preserve">Within </w:t>
            </w:r>
            <w:r w:rsidRPr="002342F8">
              <w:rPr>
                <w:b/>
                <w:bCs/>
                <w:sz w:val="20"/>
                <w:szCs w:val="20"/>
              </w:rPr>
              <w:t xml:space="preserve">90 days </w:t>
            </w:r>
            <w:r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  <w:tr w:rsidR="003F7C18" w14:paraId="6188F459" w14:textId="77777777">
        <w:tc>
          <w:tcPr>
            <w:tcW w:w="6300" w:type="dxa"/>
          </w:tcPr>
          <w:p w14:paraId="64390D17" w14:textId="35CBC18A" w:rsidR="003F7C18" w:rsidRPr="00B962D4" w:rsidRDefault="003F7C18">
            <w:pPr>
              <w:rPr>
                <w:b/>
                <w:bCs/>
                <w:sz w:val="20"/>
                <w:szCs w:val="20"/>
              </w:rPr>
            </w:pPr>
            <w:r w:rsidRPr="00B962D4">
              <w:rPr>
                <w:b/>
                <w:bCs/>
                <w:sz w:val="20"/>
                <w:szCs w:val="20"/>
              </w:rPr>
              <w:t xml:space="preserve">FSSA </w:t>
            </w:r>
            <w:r w:rsidR="00A864C9">
              <w:rPr>
                <w:b/>
                <w:bCs/>
                <w:sz w:val="20"/>
                <w:szCs w:val="20"/>
              </w:rPr>
              <w:t xml:space="preserve">Non-Financial </w:t>
            </w:r>
            <w:r w:rsidRPr="00B962D4">
              <w:rPr>
                <w:b/>
                <w:bCs/>
                <w:sz w:val="20"/>
                <w:szCs w:val="20"/>
              </w:rPr>
              <w:t xml:space="preserve">Awards </w:t>
            </w:r>
            <w:r w:rsidR="00A864C9">
              <w:rPr>
                <w:b/>
                <w:bCs/>
                <w:sz w:val="20"/>
                <w:szCs w:val="20"/>
              </w:rPr>
              <w:t>in Effect</w:t>
            </w:r>
          </w:p>
        </w:tc>
        <w:tc>
          <w:tcPr>
            <w:tcW w:w="6868" w:type="dxa"/>
            <w:gridSpan w:val="4"/>
            <w:vAlign w:val="center"/>
          </w:tcPr>
          <w:p w14:paraId="7BB81EF7" w14:textId="0D15BEB7" w:rsidR="003F7C18" w:rsidRPr="00A9307D" w:rsidRDefault="008C7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Beginning w</w:t>
            </w:r>
            <w:r w:rsidR="003F7C18" w:rsidRPr="00A9307D">
              <w:rPr>
                <w:sz w:val="20"/>
                <w:szCs w:val="20"/>
              </w:rPr>
              <w:t>ithin</w:t>
            </w:r>
            <w:r w:rsidR="003F7C18" w:rsidRPr="00553B15">
              <w:rPr>
                <w:b/>
                <w:bCs/>
                <w:sz w:val="20"/>
                <w:szCs w:val="20"/>
              </w:rPr>
              <w:t xml:space="preserve"> 120 days</w:t>
            </w:r>
            <w:r w:rsidR="003F7C18" w:rsidRPr="002342F8">
              <w:rPr>
                <w:b/>
                <w:bCs/>
                <w:sz w:val="20"/>
                <w:szCs w:val="20"/>
              </w:rPr>
              <w:t xml:space="preserve"> </w:t>
            </w:r>
            <w:r w:rsidR="003F7C18" w:rsidRPr="00A9307D">
              <w:rPr>
                <w:sz w:val="20"/>
                <w:szCs w:val="20"/>
              </w:rPr>
              <w:t>after the end of the performance measurement period</w:t>
            </w:r>
          </w:p>
        </w:tc>
      </w:tr>
    </w:tbl>
    <w:p w14:paraId="5E12D5AB" w14:textId="58B0A5E7" w:rsidR="003F7C18" w:rsidRPr="008C5901" w:rsidRDefault="003F7C18" w:rsidP="003F7C18">
      <w:pPr>
        <w:spacing w:after="0"/>
        <w:rPr>
          <w:i/>
          <w:iCs/>
          <w:sz w:val="18"/>
          <w:szCs w:val="18"/>
        </w:rPr>
      </w:pPr>
      <w:r w:rsidRPr="008C5901">
        <w:rPr>
          <w:i/>
          <w:iCs/>
          <w:sz w:val="18"/>
          <w:szCs w:val="18"/>
        </w:rPr>
        <w:t>*Note</w:t>
      </w:r>
      <w:r w:rsidR="00981590">
        <w:rPr>
          <w:i/>
          <w:iCs/>
          <w:sz w:val="18"/>
          <w:szCs w:val="18"/>
        </w:rPr>
        <w:t>s</w:t>
      </w:r>
      <w:r w:rsidRPr="008C5901">
        <w:rPr>
          <w:i/>
          <w:iCs/>
          <w:sz w:val="18"/>
          <w:szCs w:val="18"/>
        </w:rPr>
        <w:t xml:space="preserve">: </w:t>
      </w:r>
      <w:r w:rsidR="00981590">
        <w:rPr>
          <w:i/>
          <w:iCs/>
          <w:sz w:val="18"/>
          <w:szCs w:val="18"/>
        </w:rPr>
        <w:t xml:space="preserve">The measurement period for non-financial incentives may be quarterly or annual; for the purposes of illustration, this table shows quarterly measurement periods. </w:t>
      </w:r>
      <w:r w:rsidRPr="008C5901">
        <w:rPr>
          <w:i/>
          <w:iCs/>
          <w:sz w:val="18"/>
          <w:szCs w:val="18"/>
        </w:rPr>
        <w:t xml:space="preserve">Performance measures and targets will remain in place for the entire </w:t>
      </w:r>
      <w:r w:rsidRPr="008C5901">
        <w:rPr>
          <w:i/>
          <w:iCs/>
          <w:sz w:val="18"/>
          <w:szCs w:val="18"/>
        </w:rPr>
        <w:lastRenderedPageBreak/>
        <w:t>Contract Year.</w:t>
      </w:r>
      <w:r>
        <w:rPr>
          <w:i/>
          <w:iCs/>
          <w:sz w:val="18"/>
          <w:szCs w:val="18"/>
        </w:rPr>
        <w:t xml:space="preserve"> FSSA would notify the CMOs of the new measures and targets at least 90 days prior to the start of the measurement period to which they apply.</w:t>
      </w:r>
    </w:p>
    <w:p w14:paraId="5AF60B98" w14:textId="77777777" w:rsidR="00C95DD4" w:rsidRDefault="00C95DD4" w:rsidP="00A24A46">
      <w:pPr>
        <w:spacing w:after="100"/>
      </w:pPr>
    </w:p>
    <w:p w14:paraId="3F89942F" w14:textId="2A122207" w:rsidR="00DB0A54" w:rsidRDefault="00DB0A54" w:rsidP="00A24A46">
      <w:pPr>
        <w:spacing w:after="100"/>
      </w:pPr>
      <w:r>
        <w:t>For Contract Year 1, FSSA may elect to make non-financial rewards based on scores CMOs achieve during the evaluation of proposals submitted in response to this RFP.</w:t>
      </w:r>
    </w:p>
    <w:p w14:paraId="66F22802" w14:textId="77777777" w:rsidR="00D45DD0" w:rsidRDefault="00D45DD0">
      <w:pPr>
        <w:rPr>
          <w:b/>
          <w:bCs/>
        </w:rPr>
      </w:pPr>
      <w:r>
        <w:rPr>
          <w:b/>
          <w:bCs/>
        </w:rPr>
        <w:br w:type="page"/>
      </w:r>
    </w:p>
    <w:p w14:paraId="66C45872" w14:textId="0D2BDE0C" w:rsidR="00095FD9" w:rsidRDefault="008C5901" w:rsidP="00B74F9C">
      <w:pPr>
        <w:spacing w:after="0"/>
        <w:rPr>
          <w:b/>
          <w:bCs/>
        </w:rPr>
      </w:pPr>
      <w:r w:rsidRPr="008C5901">
        <w:rPr>
          <w:b/>
          <w:bCs/>
        </w:rPr>
        <w:lastRenderedPageBreak/>
        <w:t xml:space="preserve">Timing of </w:t>
      </w:r>
      <w:r w:rsidR="002A3E9E">
        <w:rPr>
          <w:b/>
          <w:bCs/>
        </w:rPr>
        <w:t xml:space="preserve">Measurement Periods and of </w:t>
      </w:r>
      <w:r w:rsidRPr="008C5901">
        <w:rPr>
          <w:b/>
          <w:bCs/>
        </w:rPr>
        <w:t>Rewards</w:t>
      </w:r>
      <w:r w:rsidR="007B4F36">
        <w:rPr>
          <w:b/>
          <w:bCs/>
        </w:rPr>
        <w:t xml:space="preserve"> and </w:t>
      </w:r>
      <w:r w:rsidRPr="008C5901">
        <w:rPr>
          <w:b/>
          <w:bCs/>
        </w:rPr>
        <w:t>Payouts</w:t>
      </w:r>
    </w:p>
    <w:p w14:paraId="0584B2BE" w14:textId="77777777" w:rsidR="002A3E9E" w:rsidRDefault="002A3E9E" w:rsidP="00B74F9C">
      <w:pPr>
        <w:spacing w:after="0"/>
      </w:pPr>
    </w:p>
    <w:p w14:paraId="00F26941" w14:textId="45025506" w:rsidR="007B4F36" w:rsidRDefault="007B4F36" w:rsidP="00B74F9C">
      <w:pPr>
        <w:spacing w:after="0"/>
      </w:pPr>
      <w:r w:rsidRPr="007B4F36">
        <w:t>The tables</w:t>
      </w:r>
      <w:r>
        <w:t xml:space="preserve"> below illustrate two potential options for the design and timing of the service level agreements and non-financial incentive programs. </w:t>
      </w:r>
    </w:p>
    <w:p w14:paraId="4C1C691E" w14:textId="03C4D6FA" w:rsidR="007B4F36" w:rsidRDefault="002A3E9E" w:rsidP="007B4F36">
      <w:pPr>
        <w:pStyle w:val="ListParagraph"/>
        <w:numPr>
          <w:ilvl w:val="0"/>
          <w:numId w:val="5"/>
        </w:numPr>
        <w:spacing w:after="0"/>
      </w:pPr>
      <w:r>
        <w:t xml:space="preserve">The </w:t>
      </w:r>
      <w:r w:rsidR="009176EA">
        <w:t xml:space="preserve">example in the </w:t>
      </w:r>
      <w:r>
        <w:t>first table shows:</w:t>
      </w:r>
    </w:p>
    <w:p w14:paraId="2936E3BD" w14:textId="5E9CF284" w:rsidR="002A3E9E" w:rsidRDefault="004B1052" w:rsidP="002A3E9E">
      <w:pPr>
        <w:pStyle w:val="ListParagraph"/>
        <w:numPr>
          <w:ilvl w:val="1"/>
          <w:numId w:val="5"/>
        </w:numPr>
        <w:spacing w:after="0"/>
      </w:pPr>
      <w:r>
        <w:t xml:space="preserve">Quarterly measurement </w:t>
      </w:r>
      <w:r w:rsidR="00472833">
        <w:t>and payouts for service level agreements</w:t>
      </w:r>
    </w:p>
    <w:p w14:paraId="31B01E56" w14:textId="7A1CBAE4" w:rsidR="004B1052" w:rsidRDefault="00472833" w:rsidP="002A3E9E">
      <w:pPr>
        <w:pStyle w:val="ListParagraph"/>
        <w:numPr>
          <w:ilvl w:val="1"/>
          <w:numId w:val="5"/>
        </w:numPr>
        <w:spacing w:after="0"/>
      </w:pPr>
      <w:r>
        <w:t>Annual measurement and reward for non-financial incentives</w:t>
      </w:r>
    </w:p>
    <w:p w14:paraId="3455E466" w14:textId="288BE057" w:rsidR="00472833" w:rsidRDefault="00472833" w:rsidP="00472833">
      <w:pPr>
        <w:pStyle w:val="ListParagraph"/>
        <w:numPr>
          <w:ilvl w:val="0"/>
          <w:numId w:val="5"/>
        </w:numPr>
        <w:spacing w:after="0"/>
      </w:pPr>
      <w:r>
        <w:t xml:space="preserve">The </w:t>
      </w:r>
      <w:r w:rsidR="009176EA">
        <w:t xml:space="preserve">example in the </w:t>
      </w:r>
      <w:r>
        <w:t>second table shows:</w:t>
      </w:r>
    </w:p>
    <w:p w14:paraId="5E27E79B" w14:textId="77777777" w:rsidR="00472833" w:rsidRDefault="00472833" w:rsidP="00472833">
      <w:pPr>
        <w:pStyle w:val="ListParagraph"/>
        <w:numPr>
          <w:ilvl w:val="1"/>
          <w:numId w:val="5"/>
        </w:numPr>
        <w:spacing w:after="0"/>
      </w:pPr>
      <w:r>
        <w:t>Quarterly measurement and payouts for service level agreements</w:t>
      </w:r>
    </w:p>
    <w:p w14:paraId="3BED1B3F" w14:textId="22EE862D" w:rsidR="00472833" w:rsidRDefault="00472833" w:rsidP="00472833">
      <w:pPr>
        <w:pStyle w:val="ListParagraph"/>
        <w:numPr>
          <w:ilvl w:val="1"/>
          <w:numId w:val="5"/>
        </w:numPr>
        <w:spacing w:after="0"/>
      </w:pPr>
      <w:r>
        <w:t>Quarterly measurement and reward for non-financial incentives</w:t>
      </w:r>
    </w:p>
    <w:p w14:paraId="154BB1A4" w14:textId="116F0CE2" w:rsidR="00DA02AC" w:rsidRDefault="009176EA" w:rsidP="00DA02AC">
      <w:pPr>
        <w:pStyle w:val="ListParagraph"/>
        <w:numPr>
          <w:ilvl w:val="0"/>
          <w:numId w:val="3"/>
        </w:numPr>
      </w:pPr>
      <w:r>
        <w:t xml:space="preserve">Both examples show that the </w:t>
      </w:r>
      <w:r w:rsidR="00F60D3F">
        <w:t>timing of measurement periods and of rewards and payouts for Contract Year 3 is not yet determined</w:t>
      </w:r>
      <w:r w:rsidR="00BE2E28">
        <w:t xml:space="preserve">. </w:t>
      </w:r>
      <w:r w:rsidR="00DA02AC" w:rsidRPr="004D2BBC">
        <w:t xml:space="preserve">FSSA </w:t>
      </w:r>
      <w:r w:rsidR="00DA02AC">
        <w:t xml:space="preserve">would </w:t>
      </w:r>
      <w:r w:rsidR="00DA02AC" w:rsidRPr="004D2BBC">
        <w:t xml:space="preserve">notify the CMOs of the new </w:t>
      </w:r>
      <w:r w:rsidR="00DA02AC">
        <w:t xml:space="preserve">methodologies, </w:t>
      </w:r>
      <w:r w:rsidR="00DA02AC" w:rsidRPr="004D2BBC">
        <w:t xml:space="preserve">measures and targets at least 90 days prior to the start of the </w:t>
      </w:r>
      <w:r w:rsidR="00556E81">
        <w:t xml:space="preserve">Contract Year 3 </w:t>
      </w:r>
      <w:r w:rsidR="00DA02AC" w:rsidRPr="004D2BBC">
        <w:t>measurement period</w:t>
      </w:r>
      <w:r w:rsidR="00556E81">
        <w:t>(s)</w:t>
      </w:r>
      <w:r w:rsidR="00DA02AC" w:rsidRPr="004D2BBC">
        <w:t>.</w:t>
      </w:r>
    </w:p>
    <w:p w14:paraId="52AEAF59" w14:textId="77777777" w:rsidR="007B4F36" w:rsidRDefault="007B4F36" w:rsidP="00B74F9C">
      <w:pPr>
        <w:spacing w:after="0"/>
      </w:pPr>
    </w:p>
    <w:p w14:paraId="62EE3744" w14:textId="79A37E99" w:rsidR="007B4F36" w:rsidRDefault="007B4F36" w:rsidP="00B74F9C">
      <w:pPr>
        <w:spacing w:after="0"/>
      </w:pPr>
      <w:r>
        <w:t xml:space="preserve">These are provided </w:t>
      </w:r>
      <w:r w:rsidR="002D7EE5">
        <w:t xml:space="preserve">as part of this RFP </w:t>
      </w:r>
      <w:r>
        <w:t xml:space="preserve">solely for illustrative purposes. </w:t>
      </w:r>
      <w:r w:rsidR="00472833">
        <w:t xml:space="preserve">FSSA reserves the right to establish the timing of measurement periods and of rewards and payouts and will notify the Contractor of such at or before the time of </w:t>
      </w:r>
      <w:r w:rsidR="002D7EE5">
        <w:t>C</w:t>
      </w:r>
      <w:r w:rsidR="00472833">
        <w:t>ontract award.</w:t>
      </w:r>
    </w:p>
    <w:p w14:paraId="6EF31876" w14:textId="77777777" w:rsidR="007B4F36" w:rsidRDefault="007B4F36" w:rsidP="00B74F9C">
      <w:pPr>
        <w:spacing w:after="0"/>
      </w:pPr>
    </w:p>
    <w:p w14:paraId="109CA826" w14:textId="3E47F1DE" w:rsidR="001267F1" w:rsidRDefault="00E52193" w:rsidP="001267F1">
      <w:pPr>
        <w:spacing w:after="0"/>
        <w:rPr>
          <w:b/>
          <w:bCs/>
        </w:rPr>
      </w:pPr>
      <w:r>
        <w:rPr>
          <w:b/>
          <w:bCs/>
        </w:rPr>
        <w:t xml:space="preserve">Sample </w:t>
      </w:r>
      <w:r w:rsidR="001267F1" w:rsidRPr="008C5901">
        <w:rPr>
          <w:b/>
          <w:bCs/>
        </w:rPr>
        <w:t>Performance Management Schedule</w:t>
      </w:r>
      <w:r>
        <w:rPr>
          <w:b/>
          <w:bCs/>
        </w:rPr>
        <w:t>s</w:t>
      </w:r>
      <w:r w:rsidR="001267F1" w:rsidRPr="008C5901">
        <w:rPr>
          <w:b/>
          <w:bCs/>
        </w:rPr>
        <w:t xml:space="preserve">: </w:t>
      </w:r>
      <w:r w:rsidR="001267F1">
        <w:rPr>
          <w:b/>
          <w:bCs/>
        </w:rPr>
        <w:t>Service Level Agreements and Non-Financial Rewards</w:t>
      </w:r>
    </w:p>
    <w:p w14:paraId="3D461BF0" w14:textId="40AB4308" w:rsidR="0078742B" w:rsidRPr="00D979A2" w:rsidRDefault="003F7C18" w:rsidP="00B74F9C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 xml:space="preserve">Example </w:t>
      </w:r>
      <w:r w:rsidR="0078742B" w:rsidRPr="00D979A2">
        <w:rPr>
          <w:b/>
          <w:bCs/>
          <w:i/>
          <w:iCs/>
        </w:rPr>
        <w:t>One</w:t>
      </w:r>
      <w:r w:rsidR="001E576E" w:rsidRPr="00D979A2">
        <w:rPr>
          <w:b/>
          <w:bCs/>
          <w:i/>
          <w:iCs/>
        </w:rPr>
        <w:t>: Non</w:t>
      </w:r>
      <w:r w:rsidR="00DB0A54">
        <w:rPr>
          <w:b/>
          <w:bCs/>
          <w:i/>
          <w:iCs/>
        </w:rPr>
        <w:t>-</w:t>
      </w:r>
      <w:r w:rsidR="00E52193">
        <w:rPr>
          <w:b/>
          <w:bCs/>
          <w:i/>
          <w:iCs/>
        </w:rPr>
        <w:t>F</w:t>
      </w:r>
      <w:r w:rsidR="00DB0A54">
        <w:rPr>
          <w:b/>
          <w:bCs/>
          <w:i/>
          <w:iCs/>
        </w:rPr>
        <w:t>inancial</w:t>
      </w:r>
      <w:r w:rsidR="0078742B" w:rsidRPr="00D979A2">
        <w:rPr>
          <w:b/>
          <w:bCs/>
          <w:i/>
          <w:iCs/>
        </w:rPr>
        <w:t xml:space="preserve"> Rewards Made Annually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545"/>
        <w:gridCol w:w="2195"/>
        <w:gridCol w:w="1495"/>
        <w:gridCol w:w="2245"/>
      </w:tblGrid>
      <w:tr w:rsidR="0078742B" w:rsidRPr="00D84534" w14:paraId="4994E158" w14:textId="77777777" w:rsidTr="006E4C17">
        <w:trPr>
          <w:cantSplit/>
          <w:tblHeader/>
        </w:trPr>
        <w:tc>
          <w:tcPr>
            <w:tcW w:w="1870" w:type="dxa"/>
            <w:shd w:val="clear" w:color="auto" w:fill="153D63" w:themeFill="text2" w:themeFillTint="E6"/>
            <w:vAlign w:val="center"/>
          </w:tcPr>
          <w:p w14:paraId="261D71CA" w14:textId="77777777" w:rsidR="0078742B" w:rsidRPr="00D84534" w:rsidRDefault="0078742B" w:rsidP="000677DF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Performance Measurement Period</w:t>
            </w:r>
          </w:p>
        </w:tc>
        <w:tc>
          <w:tcPr>
            <w:tcW w:w="1545" w:type="dxa"/>
            <w:shd w:val="clear" w:color="auto" w:fill="153D63" w:themeFill="text2" w:themeFillTint="E6"/>
            <w:vAlign w:val="center"/>
          </w:tcPr>
          <w:p w14:paraId="52A31824" w14:textId="00184265" w:rsidR="0078742B" w:rsidRPr="00D84534" w:rsidRDefault="00EC6B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 Level Agreement in Place for This Measurement Period?</w:t>
            </w:r>
          </w:p>
        </w:tc>
        <w:tc>
          <w:tcPr>
            <w:tcW w:w="2195" w:type="dxa"/>
            <w:shd w:val="clear" w:color="auto" w:fill="153D63" w:themeFill="text2" w:themeFillTint="E6"/>
            <w:vAlign w:val="center"/>
          </w:tcPr>
          <w:p w14:paraId="55E1FB0A" w14:textId="77D3CB1A" w:rsidR="0078742B" w:rsidRPr="00D84534" w:rsidRDefault="007874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Timing of Reward for Compl</w:t>
            </w:r>
            <w:r w:rsidR="007B4F36">
              <w:rPr>
                <w:b/>
                <w:bCs/>
                <w:sz w:val="20"/>
                <w:szCs w:val="20"/>
              </w:rPr>
              <w:t>ying with Service Level Agreement</w:t>
            </w:r>
          </w:p>
        </w:tc>
        <w:tc>
          <w:tcPr>
            <w:tcW w:w="1495" w:type="dxa"/>
            <w:shd w:val="clear" w:color="auto" w:fill="153D63" w:themeFill="text2" w:themeFillTint="E6"/>
            <w:vAlign w:val="center"/>
          </w:tcPr>
          <w:p w14:paraId="59687FEE" w14:textId="0779E79A" w:rsidR="0078742B" w:rsidRPr="00D84534" w:rsidRDefault="00EC6B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Non-Financial Incentive Program in Place for This Measurement Period?</w:t>
            </w:r>
          </w:p>
        </w:tc>
        <w:tc>
          <w:tcPr>
            <w:tcW w:w="2245" w:type="dxa"/>
            <w:shd w:val="clear" w:color="auto" w:fill="153D63" w:themeFill="text2" w:themeFillTint="E6"/>
            <w:vAlign w:val="center"/>
          </w:tcPr>
          <w:p w14:paraId="1900AA60" w14:textId="28E617F6" w:rsidR="0078742B" w:rsidRPr="00D84534" w:rsidRDefault="0078742B" w:rsidP="007B4F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Timing of Reward for </w:t>
            </w:r>
            <w:r w:rsidR="007B4F36">
              <w:rPr>
                <w:b/>
                <w:bCs/>
                <w:sz w:val="20"/>
                <w:szCs w:val="20"/>
              </w:rPr>
              <w:t>Achieving Non-Financial Incentive Performance Target</w:t>
            </w:r>
          </w:p>
        </w:tc>
      </w:tr>
      <w:tr w:rsidR="0078742B" w:rsidRPr="00D84534" w14:paraId="1EEDABC6" w14:textId="77777777">
        <w:tc>
          <w:tcPr>
            <w:tcW w:w="1870" w:type="dxa"/>
            <w:shd w:val="clear" w:color="auto" w:fill="4C94D8" w:themeFill="text2" w:themeFillTint="80"/>
          </w:tcPr>
          <w:p w14:paraId="6F95B6D8" w14:textId="77777777" w:rsidR="0078742B" w:rsidRPr="00D84534" w:rsidRDefault="0078742B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Contract Year 1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5D94806A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250F5DC4" w14:textId="77777777" w:rsidR="0078742B" w:rsidRPr="00D84534" w:rsidRDefault="0078742B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598CFA53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106C1EFE" w14:textId="77777777" w:rsidR="0078742B" w:rsidRPr="00D84534" w:rsidRDefault="0078742B">
            <w:pPr>
              <w:rPr>
                <w:sz w:val="20"/>
                <w:szCs w:val="20"/>
              </w:rPr>
            </w:pPr>
          </w:p>
        </w:tc>
      </w:tr>
      <w:tr w:rsidR="004B1052" w:rsidRPr="00D84534" w14:paraId="76E4E02A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1EE398EF" w14:textId="77777777" w:rsidR="004B1052" w:rsidRPr="00D84534" w:rsidRDefault="004B1052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1C6EBFAD" w14:textId="77777777" w:rsidR="004B1052" w:rsidRPr="00D84534" w:rsidRDefault="004B1052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5FBC01D3" w14:textId="72FA9A01" w:rsidR="004B1052" w:rsidRPr="00D84534" w:rsidRDefault="004B1052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 w:val="restart"/>
            <w:shd w:val="clear" w:color="auto" w:fill="A5C9EB" w:themeFill="text2" w:themeFillTint="40"/>
            <w:vAlign w:val="center"/>
          </w:tcPr>
          <w:p w14:paraId="4A9EDB69" w14:textId="7B1CB34F" w:rsidR="004B1052" w:rsidRPr="00D84534" w:rsidRDefault="00472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vMerge w:val="restart"/>
            <w:shd w:val="clear" w:color="auto" w:fill="A5C9EB" w:themeFill="text2" w:themeFillTint="40"/>
            <w:vAlign w:val="center"/>
          </w:tcPr>
          <w:p w14:paraId="025B974C" w14:textId="7A8D3C71" w:rsidR="004B1052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4B1052">
              <w:rPr>
                <w:sz w:val="16"/>
                <w:szCs w:val="16"/>
              </w:rPr>
              <w:t xml:space="preserve"> reward, effective throughout Contract Year 2 based on Contract Year 1 overall performance</w:t>
            </w:r>
          </w:p>
          <w:p w14:paraId="4B542A3A" w14:textId="5449FD07" w:rsidR="004B1052" w:rsidRPr="00D84534" w:rsidRDefault="004B1052">
            <w:pPr>
              <w:rPr>
                <w:sz w:val="16"/>
                <w:szCs w:val="16"/>
              </w:rPr>
            </w:pPr>
          </w:p>
        </w:tc>
      </w:tr>
      <w:tr w:rsidR="004B1052" w:rsidRPr="00D84534" w14:paraId="662B1A10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45789714" w14:textId="77777777" w:rsidR="004B1052" w:rsidRPr="00D84534" w:rsidRDefault="004B1052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3E48C2CB" w14:textId="77777777" w:rsidR="004B1052" w:rsidRPr="00D84534" w:rsidRDefault="004B1052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0865A823" w14:textId="0F9E2B7B" w:rsidR="004B1052" w:rsidRPr="00D84534" w:rsidRDefault="004B1052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3EEFF7A5" w14:textId="601A2777" w:rsidR="004B1052" w:rsidRPr="00D84534" w:rsidRDefault="004B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16FC3FDF" w14:textId="232576D8" w:rsidR="004B1052" w:rsidRPr="00D84534" w:rsidRDefault="004B1052">
            <w:pPr>
              <w:rPr>
                <w:sz w:val="16"/>
                <w:szCs w:val="16"/>
              </w:rPr>
            </w:pPr>
          </w:p>
        </w:tc>
      </w:tr>
      <w:tr w:rsidR="004B1052" w:rsidRPr="00D84534" w14:paraId="2BC2F044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1E93BFAA" w14:textId="77777777" w:rsidR="004B1052" w:rsidRPr="00D84534" w:rsidRDefault="004B1052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252CAD28" w14:textId="77777777" w:rsidR="004B1052" w:rsidRPr="00D84534" w:rsidRDefault="004B1052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3DFBAD8D" w14:textId="35E0CB17" w:rsidR="004B1052" w:rsidRPr="00D84534" w:rsidRDefault="004B1052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7B3DC1C7" w14:textId="621D47F7" w:rsidR="004B1052" w:rsidRPr="00D84534" w:rsidRDefault="004B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0B3FDB0B" w14:textId="030F0633" w:rsidR="004B1052" w:rsidRPr="00D84534" w:rsidRDefault="004B1052">
            <w:pPr>
              <w:rPr>
                <w:sz w:val="16"/>
                <w:szCs w:val="16"/>
              </w:rPr>
            </w:pPr>
          </w:p>
        </w:tc>
      </w:tr>
      <w:tr w:rsidR="004B1052" w:rsidRPr="00D84534" w14:paraId="05556C55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70882E2D" w14:textId="77777777" w:rsidR="004B1052" w:rsidRPr="00D84534" w:rsidRDefault="004B1052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33606D82" w14:textId="77777777" w:rsidR="004B1052" w:rsidRPr="00D84534" w:rsidRDefault="004B1052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1555E321" w14:textId="100018DF" w:rsidR="004B1052" w:rsidRPr="00D84534" w:rsidRDefault="004B1052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1AF726BB" w14:textId="1101D11F" w:rsidR="004B1052" w:rsidRPr="00D84534" w:rsidRDefault="004B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1695A130" w14:textId="3A986A41" w:rsidR="004B1052" w:rsidRPr="00D84534" w:rsidRDefault="004B1052">
            <w:pPr>
              <w:rPr>
                <w:sz w:val="16"/>
                <w:szCs w:val="16"/>
              </w:rPr>
            </w:pPr>
          </w:p>
        </w:tc>
      </w:tr>
      <w:tr w:rsidR="0078742B" w:rsidRPr="00D84534" w14:paraId="3B8E0D91" w14:textId="77777777">
        <w:tc>
          <w:tcPr>
            <w:tcW w:w="1870" w:type="dxa"/>
            <w:shd w:val="clear" w:color="auto" w:fill="4C94D8" w:themeFill="text2" w:themeFillTint="80"/>
          </w:tcPr>
          <w:p w14:paraId="3929ADB4" w14:textId="77777777" w:rsidR="0078742B" w:rsidRPr="00D84534" w:rsidRDefault="0078742B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 xml:space="preserve">Contract Year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0EF9AE68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1BA4815C" w14:textId="77777777" w:rsidR="0078742B" w:rsidRPr="00D84534" w:rsidRDefault="0078742B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11035508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47E1C6A2" w14:textId="77777777" w:rsidR="0078742B" w:rsidRPr="00D84534" w:rsidRDefault="0078742B">
            <w:pPr>
              <w:rPr>
                <w:sz w:val="16"/>
                <w:szCs w:val="16"/>
              </w:rPr>
            </w:pPr>
          </w:p>
        </w:tc>
      </w:tr>
      <w:tr w:rsidR="00472833" w:rsidRPr="00D84534" w14:paraId="4EA66F1B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53AB4FE9" w14:textId="77777777" w:rsidR="00472833" w:rsidRPr="00D84534" w:rsidRDefault="00472833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6E258E7C" w14:textId="77777777" w:rsidR="00472833" w:rsidRPr="00D84534" w:rsidRDefault="00472833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31D81A04" w14:textId="5C8CB1AD" w:rsidR="00472833" w:rsidRPr="00D84534" w:rsidRDefault="0047283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 w:val="restart"/>
            <w:shd w:val="clear" w:color="auto" w:fill="A5C9EB" w:themeFill="text2" w:themeFillTint="40"/>
            <w:vAlign w:val="center"/>
          </w:tcPr>
          <w:p w14:paraId="4A6AE5BE" w14:textId="20BD13BB" w:rsidR="00472833" w:rsidRPr="00D84534" w:rsidRDefault="00472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vMerge w:val="restart"/>
            <w:shd w:val="clear" w:color="auto" w:fill="A5C9EB" w:themeFill="text2" w:themeFillTint="40"/>
            <w:vAlign w:val="center"/>
          </w:tcPr>
          <w:p w14:paraId="3492F34D" w14:textId="27C04873" w:rsidR="00472833" w:rsidRPr="00D84534" w:rsidRDefault="00DB0A54" w:rsidP="00D979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472833">
              <w:rPr>
                <w:sz w:val="16"/>
                <w:szCs w:val="16"/>
              </w:rPr>
              <w:t xml:space="preserve"> reward, effective throughout Contract Year 3 based on </w:t>
            </w:r>
            <w:r w:rsidR="00472833">
              <w:rPr>
                <w:sz w:val="16"/>
                <w:szCs w:val="16"/>
              </w:rPr>
              <w:lastRenderedPageBreak/>
              <w:t>Contract Year 2 overall performance</w:t>
            </w:r>
          </w:p>
          <w:p w14:paraId="01FC7F25" w14:textId="3D35AA7C" w:rsidR="00472833" w:rsidRPr="00D84534" w:rsidRDefault="00472833">
            <w:pPr>
              <w:rPr>
                <w:sz w:val="16"/>
                <w:szCs w:val="16"/>
              </w:rPr>
            </w:pPr>
          </w:p>
        </w:tc>
      </w:tr>
      <w:tr w:rsidR="00472833" w:rsidRPr="00D84534" w14:paraId="3DDEE9A9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62012F48" w14:textId="77777777" w:rsidR="00472833" w:rsidRPr="00D84534" w:rsidRDefault="00472833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lastRenderedPageBreak/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627FD125" w14:textId="77777777" w:rsidR="00472833" w:rsidRPr="00D84534" w:rsidRDefault="00472833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5C87592C" w14:textId="5476F992" w:rsidR="00472833" w:rsidRPr="00D84534" w:rsidRDefault="0047283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4F74D9EE" w14:textId="6F141E07" w:rsidR="00472833" w:rsidRPr="00D84534" w:rsidRDefault="004728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50D95D58" w14:textId="4EDA1E3A" w:rsidR="00472833" w:rsidRPr="00D84534" w:rsidRDefault="00472833">
            <w:pPr>
              <w:rPr>
                <w:sz w:val="16"/>
                <w:szCs w:val="16"/>
              </w:rPr>
            </w:pPr>
          </w:p>
        </w:tc>
      </w:tr>
      <w:tr w:rsidR="00472833" w:rsidRPr="00D84534" w14:paraId="5F21D492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2BB6D96E" w14:textId="77777777" w:rsidR="00472833" w:rsidRPr="00D84534" w:rsidRDefault="00472833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20C00D0E" w14:textId="77777777" w:rsidR="00472833" w:rsidRPr="00D84534" w:rsidRDefault="00472833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02C19F7E" w14:textId="0DD74EB4" w:rsidR="00472833" w:rsidRPr="00D84534" w:rsidRDefault="0047283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59104A3D" w14:textId="33182DA1" w:rsidR="00472833" w:rsidRPr="00D84534" w:rsidRDefault="004728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60FCD91B" w14:textId="20C68657" w:rsidR="00472833" w:rsidRPr="00D84534" w:rsidRDefault="00472833">
            <w:pPr>
              <w:rPr>
                <w:sz w:val="16"/>
                <w:szCs w:val="16"/>
              </w:rPr>
            </w:pPr>
          </w:p>
        </w:tc>
      </w:tr>
      <w:tr w:rsidR="00472833" w:rsidRPr="00D84534" w14:paraId="549BABAE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2FE4D73B" w14:textId="77777777" w:rsidR="00472833" w:rsidRPr="00D84534" w:rsidRDefault="00472833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921C560" w14:textId="77777777" w:rsidR="00472833" w:rsidRPr="00D84534" w:rsidRDefault="00472833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1F9DF700" w14:textId="6437287C" w:rsidR="00472833" w:rsidRPr="00D84534" w:rsidRDefault="0047283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vMerge/>
            <w:shd w:val="clear" w:color="auto" w:fill="A5C9EB" w:themeFill="text2" w:themeFillTint="40"/>
            <w:vAlign w:val="center"/>
          </w:tcPr>
          <w:p w14:paraId="0A19900C" w14:textId="0586512B" w:rsidR="00472833" w:rsidRPr="00D84534" w:rsidRDefault="004728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5C9EB" w:themeFill="text2" w:themeFillTint="40"/>
            <w:vAlign w:val="center"/>
          </w:tcPr>
          <w:p w14:paraId="11B7D60F" w14:textId="7B1C8753" w:rsidR="00472833" w:rsidRPr="00D84534" w:rsidRDefault="00472833">
            <w:pPr>
              <w:rPr>
                <w:sz w:val="16"/>
                <w:szCs w:val="16"/>
              </w:rPr>
            </w:pPr>
          </w:p>
        </w:tc>
      </w:tr>
      <w:tr w:rsidR="0078742B" w:rsidRPr="00D84534" w14:paraId="1188A4C9" w14:textId="77777777">
        <w:tc>
          <w:tcPr>
            <w:tcW w:w="1870" w:type="dxa"/>
            <w:shd w:val="clear" w:color="auto" w:fill="4C94D8" w:themeFill="text2" w:themeFillTint="80"/>
          </w:tcPr>
          <w:p w14:paraId="73160ED2" w14:textId="732DB630" w:rsidR="0078742B" w:rsidRPr="00D84534" w:rsidRDefault="0078742B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 xml:space="preserve">Contract Year </w:t>
            </w:r>
            <w:r w:rsidR="006B1BE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30437B9C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27E9EA1D" w14:textId="77777777" w:rsidR="0078742B" w:rsidRPr="00D84534" w:rsidRDefault="0078742B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53C7173A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17D2EADB" w14:textId="77777777" w:rsidR="0078742B" w:rsidRPr="00D84534" w:rsidRDefault="0078742B">
            <w:pPr>
              <w:rPr>
                <w:sz w:val="16"/>
                <w:szCs w:val="16"/>
              </w:rPr>
            </w:pPr>
          </w:p>
        </w:tc>
      </w:tr>
      <w:tr w:rsidR="0078742B" w:rsidRPr="00D84534" w14:paraId="02BA8573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42266299" w14:textId="77777777" w:rsidR="0078742B" w:rsidRPr="00D84534" w:rsidRDefault="0078742B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55A16E88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2D1A4747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642D2989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339F5632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78742B" w:rsidRPr="00D84534" w14:paraId="549B7E1C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489E329E" w14:textId="77777777" w:rsidR="0078742B" w:rsidRPr="00D84534" w:rsidRDefault="0078742B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808A6D2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7EF4CBCF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103BB86B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5E1E89DB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78742B" w:rsidRPr="00D84534" w14:paraId="63273E78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6C41D30F" w14:textId="77777777" w:rsidR="0078742B" w:rsidRPr="00D84534" w:rsidRDefault="0078742B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344ACCF4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34A572B3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4A2E107F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643BBF50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78742B" w:rsidRPr="00D84534" w14:paraId="3D40C9A2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73947CB3" w14:textId="77777777" w:rsidR="0078742B" w:rsidRPr="00D84534" w:rsidRDefault="0078742B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2280C994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41C1F1A1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485F968A" w14:textId="77777777" w:rsidR="0078742B" w:rsidRPr="00D84534" w:rsidRDefault="00787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161EF8F0" w14:textId="77777777" w:rsidR="0078742B" w:rsidRPr="00D84534" w:rsidRDefault="00787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</w:tbl>
    <w:p w14:paraId="1115F134" w14:textId="77777777" w:rsidR="00B74F9C" w:rsidRDefault="00B74F9C"/>
    <w:p w14:paraId="61D11CD3" w14:textId="30DF916E" w:rsidR="0078742B" w:rsidRPr="00A07A7D" w:rsidRDefault="003F7C18" w:rsidP="00B74F9C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 xml:space="preserve">Example </w:t>
      </w:r>
      <w:r w:rsidR="0078742B" w:rsidRPr="00A07A7D">
        <w:rPr>
          <w:b/>
          <w:bCs/>
          <w:i/>
          <w:iCs/>
        </w:rPr>
        <w:t xml:space="preserve">Two: </w:t>
      </w:r>
      <w:r w:rsidR="00DB0A54">
        <w:rPr>
          <w:b/>
          <w:bCs/>
          <w:i/>
          <w:iCs/>
        </w:rPr>
        <w:t>Non-</w:t>
      </w:r>
      <w:r w:rsidR="00E52193">
        <w:rPr>
          <w:b/>
          <w:bCs/>
          <w:i/>
          <w:iCs/>
        </w:rPr>
        <w:t>F</w:t>
      </w:r>
      <w:r w:rsidR="00DB0A54">
        <w:rPr>
          <w:b/>
          <w:bCs/>
          <w:i/>
          <w:iCs/>
        </w:rPr>
        <w:t>inancial</w:t>
      </w:r>
      <w:r w:rsidR="0078742B" w:rsidRPr="00A07A7D">
        <w:rPr>
          <w:b/>
          <w:bCs/>
          <w:i/>
          <w:iCs/>
        </w:rPr>
        <w:t xml:space="preserve"> Rewards Made Quarterly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545"/>
        <w:gridCol w:w="2195"/>
        <w:gridCol w:w="1495"/>
        <w:gridCol w:w="2245"/>
      </w:tblGrid>
      <w:tr w:rsidR="006620EC" w:rsidRPr="00D84534" w14:paraId="3528CC4B" w14:textId="77777777" w:rsidTr="006E4C17">
        <w:trPr>
          <w:cantSplit/>
          <w:tblHeader/>
        </w:trPr>
        <w:tc>
          <w:tcPr>
            <w:tcW w:w="1870" w:type="dxa"/>
            <w:shd w:val="clear" w:color="auto" w:fill="153D63" w:themeFill="text2" w:themeFillTint="E6"/>
            <w:vAlign w:val="center"/>
          </w:tcPr>
          <w:p w14:paraId="4E687691" w14:textId="77777777" w:rsidR="006620EC" w:rsidRPr="00D84534" w:rsidRDefault="006620EC" w:rsidP="000677DF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Performance Measurement Period</w:t>
            </w:r>
          </w:p>
        </w:tc>
        <w:tc>
          <w:tcPr>
            <w:tcW w:w="1545" w:type="dxa"/>
            <w:shd w:val="clear" w:color="auto" w:fill="153D63" w:themeFill="text2" w:themeFillTint="E6"/>
            <w:vAlign w:val="center"/>
          </w:tcPr>
          <w:p w14:paraId="189977C3" w14:textId="77777777" w:rsidR="006620EC" w:rsidRPr="00D84534" w:rsidRDefault="006620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 Level Agreement in Place for This Measurement Period?</w:t>
            </w:r>
          </w:p>
        </w:tc>
        <w:tc>
          <w:tcPr>
            <w:tcW w:w="2195" w:type="dxa"/>
            <w:shd w:val="clear" w:color="auto" w:fill="153D63" w:themeFill="text2" w:themeFillTint="E6"/>
            <w:vAlign w:val="center"/>
          </w:tcPr>
          <w:p w14:paraId="52943A92" w14:textId="77777777" w:rsidR="006620EC" w:rsidRPr="00D84534" w:rsidRDefault="006620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Timing of Reward for Complying with Service Level Agreement</w:t>
            </w:r>
          </w:p>
        </w:tc>
        <w:tc>
          <w:tcPr>
            <w:tcW w:w="1495" w:type="dxa"/>
            <w:shd w:val="clear" w:color="auto" w:fill="153D63" w:themeFill="text2" w:themeFillTint="E6"/>
            <w:vAlign w:val="center"/>
          </w:tcPr>
          <w:p w14:paraId="1B97DEDD" w14:textId="77777777" w:rsidR="006620EC" w:rsidRPr="00D84534" w:rsidRDefault="006620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Non-Financial Incentive Program in Place for This Measurement Period?</w:t>
            </w:r>
          </w:p>
        </w:tc>
        <w:tc>
          <w:tcPr>
            <w:tcW w:w="2245" w:type="dxa"/>
            <w:shd w:val="clear" w:color="auto" w:fill="153D63" w:themeFill="text2" w:themeFillTint="E6"/>
            <w:vAlign w:val="center"/>
          </w:tcPr>
          <w:p w14:paraId="2C4D8660" w14:textId="77777777" w:rsidR="006620EC" w:rsidRPr="00D84534" w:rsidRDefault="006620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Timing of Reward for Achieving Non-Financial Incentive Performance Target</w:t>
            </w:r>
          </w:p>
        </w:tc>
      </w:tr>
      <w:tr w:rsidR="006B5D47" w:rsidRPr="00D84534" w14:paraId="0391CB9A" w14:textId="77777777">
        <w:tc>
          <w:tcPr>
            <w:tcW w:w="1870" w:type="dxa"/>
            <w:shd w:val="clear" w:color="auto" w:fill="4C94D8" w:themeFill="text2" w:themeFillTint="80"/>
          </w:tcPr>
          <w:p w14:paraId="36D749E1" w14:textId="77777777" w:rsidR="006B5D47" w:rsidRPr="00D84534" w:rsidRDefault="006B5D47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Contract Year 1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7C3A12C1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5AEE6408" w14:textId="77777777" w:rsidR="006B5D47" w:rsidRPr="00D84534" w:rsidRDefault="006B5D47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068072BB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08BE3206" w14:textId="77777777" w:rsidR="006B5D47" w:rsidRPr="00D84534" w:rsidRDefault="006B5D47">
            <w:pPr>
              <w:rPr>
                <w:sz w:val="20"/>
                <w:szCs w:val="20"/>
              </w:rPr>
            </w:pPr>
          </w:p>
        </w:tc>
      </w:tr>
      <w:tr w:rsidR="006B5D47" w:rsidRPr="00D84534" w14:paraId="70E73406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0B3C8800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2C3A0C31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49F28360" w14:textId="64F43863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77A6CFF7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No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55852B9E" w14:textId="77777777" w:rsidR="006B5D47" w:rsidRPr="00D84534" w:rsidRDefault="006B5D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applicable</w:t>
            </w:r>
          </w:p>
        </w:tc>
      </w:tr>
      <w:tr w:rsidR="006B5D47" w:rsidRPr="00D84534" w14:paraId="02A06F91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70C3AC09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1DABB7CD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5FB707EA" w14:textId="6B5D23B6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0BB7910D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No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1C444890" w14:textId="77777777" w:rsidR="006B5D47" w:rsidRPr="00D84534" w:rsidRDefault="006B5D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applicable</w:t>
            </w:r>
          </w:p>
        </w:tc>
      </w:tr>
      <w:tr w:rsidR="006B5D47" w:rsidRPr="00D84534" w14:paraId="578A00C2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5FE4CA71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673736CE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4C3E60F1" w14:textId="703FD742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1019CACE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4885FEBA" w14:textId="6EF780D8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Contract Year 2, Period 1</w:t>
            </w:r>
          </w:p>
        </w:tc>
      </w:tr>
      <w:tr w:rsidR="006B5D47" w:rsidRPr="00D84534" w14:paraId="5CD4CC47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644BEE7D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50090D59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0651E44E" w14:textId="4BC2FC03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0EB03711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193D3988" w14:textId="0F7AA8E5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Contract Year 2, Period 2</w:t>
            </w:r>
          </w:p>
        </w:tc>
      </w:tr>
      <w:tr w:rsidR="006B5D47" w:rsidRPr="00D84534" w14:paraId="7DA46441" w14:textId="77777777">
        <w:tc>
          <w:tcPr>
            <w:tcW w:w="1870" w:type="dxa"/>
            <w:shd w:val="clear" w:color="auto" w:fill="4C94D8" w:themeFill="text2" w:themeFillTint="80"/>
          </w:tcPr>
          <w:p w14:paraId="6AADB0A2" w14:textId="77777777" w:rsidR="006B5D47" w:rsidRPr="00D84534" w:rsidRDefault="006B5D47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 xml:space="preserve">Contract Year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245E25D3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4ADDC381" w14:textId="77777777" w:rsidR="006B5D47" w:rsidRPr="00D84534" w:rsidRDefault="006B5D47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38A1FA04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3901303D" w14:textId="77777777" w:rsidR="006B5D47" w:rsidRPr="00D84534" w:rsidRDefault="006B5D47">
            <w:pPr>
              <w:rPr>
                <w:sz w:val="16"/>
                <w:szCs w:val="16"/>
              </w:rPr>
            </w:pPr>
          </w:p>
        </w:tc>
      </w:tr>
      <w:tr w:rsidR="006B5D47" w:rsidRPr="00D84534" w14:paraId="0C4505F3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26A7187C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3632516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3D92A73E" w14:textId="5B23271F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3E26BEE1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6F7590E8" w14:textId="029BF422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Period 3</w:t>
            </w:r>
          </w:p>
        </w:tc>
      </w:tr>
      <w:tr w:rsidR="006B5D47" w:rsidRPr="00D84534" w14:paraId="764F6D4B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4F0203E2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1B5BCF51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2C2D2494" w14:textId="26EF1EFF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5AE1068C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05C51F53" w14:textId="51D198E0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Period 4</w:t>
            </w:r>
          </w:p>
        </w:tc>
      </w:tr>
      <w:tr w:rsidR="006B5D47" w:rsidRPr="00D84534" w14:paraId="2B7662F5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6020D4A6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668ACEA0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7625C6A9" w14:textId="09DA2712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224328DF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0583C703" w14:textId="45313D66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Contract Year 3, Period 1</w:t>
            </w:r>
          </w:p>
        </w:tc>
      </w:tr>
      <w:tr w:rsidR="006B5D47" w:rsidRPr="00D84534" w14:paraId="670F9B95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77BF1290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8381C0A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1B98A40C" w14:textId="1D61522E" w:rsidR="006B5D47" w:rsidRPr="00D84534" w:rsidRDefault="004B027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Service Level Agreement payout</w:t>
            </w:r>
            <w:r w:rsidR="006B5D47" w:rsidRPr="00D84534">
              <w:rPr>
                <w:sz w:val="16"/>
                <w:szCs w:val="16"/>
              </w:rPr>
              <w:t>, paid within 120 days of period end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49DA0FF0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 w:rsidRPr="00D84534">
              <w:rPr>
                <w:sz w:val="20"/>
                <w:szCs w:val="20"/>
              </w:rPr>
              <w:t>Yes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4DA25123" w14:textId="508D343A" w:rsidR="006B5D47" w:rsidRPr="00D84534" w:rsidRDefault="00DB0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Non-financial</w:t>
            </w:r>
            <w:r w:rsidR="006B5D47">
              <w:rPr>
                <w:sz w:val="16"/>
                <w:szCs w:val="16"/>
              </w:rPr>
              <w:t xml:space="preserve"> reward, effective during Contract Year 3, Period 2</w:t>
            </w:r>
          </w:p>
        </w:tc>
      </w:tr>
      <w:tr w:rsidR="006B5D47" w:rsidRPr="00D84534" w14:paraId="3D780065" w14:textId="77777777">
        <w:tc>
          <w:tcPr>
            <w:tcW w:w="1870" w:type="dxa"/>
            <w:shd w:val="clear" w:color="auto" w:fill="4C94D8" w:themeFill="text2" w:themeFillTint="80"/>
          </w:tcPr>
          <w:p w14:paraId="5CD0843C" w14:textId="4CCA840E" w:rsidR="006B5D47" w:rsidRPr="00D84534" w:rsidRDefault="006B5D47">
            <w:pPr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 xml:space="preserve">Contract Year </w:t>
            </w:r>
            <w:r w:rsidR="006B1BE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5" w:type="dxa"/>
            <w:shd w:val="clear" w:color="auto" w:fill="4C94D8" w:themeFill="text2" w:themeFillTint="80"/>
            <w:vAlign w:val="center"/>
          </w:tcPr>
          <w:p w14:paraId="466DDB39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4C94D8" w:themeFill="text2" w:themeFillTint="80"/>
            <w:vAlign w:val="center"/>
          </w:tcPr>
          <w:p w14:paraId="7F7FE2FC" w14:textId="77777777" w:rsidR="006B5D47" w:rsidRPr="00D84534" w:rsidRDefault="006B5D47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4C94D8" w:themeFill="text2" w:themeFillTint="80"/>
            <w:vAlign w:val="center"/>
          </w:tcPr>
          <w:p w14:paraId="6833D01C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4C94D8" w:themeFill="text2" w:themeFillTint="80"/>
            <w:vAlign w:val="center"/>
          </w:tcPr>
          <w:p w14:paraId="26C3B809" w14:textId="77777777" w:rsidR="006B5D47" w:rsidRPr="00D84534" w:rsidRDefault="006B5D47">
            <w:pPr>
              <w:rPr>
                <w:sz w:val="16"/>
                <w:szCs w:val="16"/>
              </w:rPr>
            </w:pPr>
          </w:p>
        </w:tc>
      </w:tr>
      <w:tr w:rsidR="006B5D47" w:rsidRPr="00D84534" w14:paraId="78D0D1BA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3FB3F556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1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5D7CB7E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72A68626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797556DD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25924E41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6B5D47" w:rsidRPr="00D84534" w14:paraId="14017985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7E0ABCA9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2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7CF49567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4E1493EB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067B6FD2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487D8FC6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6B5D47" w:rsidRPr="00D84534" w14:paraId="5B406507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179FADF3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lastRenderedPageBreak/>
              <w:t>Period 3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63E0F374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47E8A17A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42879438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664E0C72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6B5D47" w:rsidRPr="00D84534" w14:paraId="1AE666BB" w14:textId="77777777">
        <w:tc>
          <w:tcPr>
            <w:tcW w:w="1870" w:type="dxa"/>
            <w:shd w:val="clear" w:color="auto" w:fill="4C94D8" w:themeFill="text2" w:themeFillTint="80"/>
            <w:vAlign w:val="center"/>
          </w:tcPr>
          <w:p w14:paraId="5070A1CC" w14:textId="77777777" w:rsidR="006B5D47" w:rsidRPr="00D84534" w:rsidRDefault="006B5D47">
            <w:pPr>
              <w:jc w:val="right"/>
              <w:rPr>
                <w:b/>
                <w:bCs/>
                <w:sz w:val="20"/>
                <w:szCs w:val="20"/>
              </w:rPr>
            </w:pPr>
            <w:r w:rsidRPr="00D84534">
              <w:rPr>
                <w:b/>
                <w:bCs/>
                <w:sz w:val="20"/>
                <w:szCs w:val="20"/>
              </w:rPr>
              <w:t>Period 4</w:t>
            </w:r>
          </w:p>
        </w:tc>
        <w:tc>
          <w:tcPr>
            <w:tcW w:w="1545" w:type="dxa"/>
            <w:shd w:val="clear" w:color="auto" w:fill="DAE9F7" w:themeFill="text2" w:themeFillTint="1A"/>
            <w:vAlign w:val="center"/>
          </w:tcPr>
          <w:p w14:paraId="0BFBEA4D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5A58419F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1495" w:type="dxa"/>
            <w:shd w:val="clear" w:color="auto" w:fill="A5C9EB" w:themeFill="text2" w:themeFillTint="40"/>
            <w:vAlign w:val="center"/>
          </w:tcPr>
          <w:p w14:paraId="06DA4CB4" w14:textId="77777777" w:rsidR="006B5D47" w:rsidRPr="00D84534" w:rsidRDefault="006B5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  <w:tc>
          <w:tcPr>
            <w:tcW w:w="2245" w:type="dxa"/>
            <w:shd w:val="clear" w:color="auto" w:fill="A5C9EB" w:themeFill="text2" w:themeFillTint="40"/>
            <w:vAlign w:val="center"/>
          </w:tcPr>
          <w:p w14:paraId="7FBD43FE" w14:textId="77777777" w:rsidR="006B5D47" w:rsidRPr="00D84534" w:rsidRDefault="006B5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</w:tbl>
    <w:p w14:paraId="30648D86" w14:textId="69E4FB07" w:rsidR="00087871" w:rsidRDefault="00087871"/>
    <w:sectPr w:rsidR="00087871" w:rsidSect="0047283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71649" w14:textId="77777777" w:rsidR="00125452" w:rsidRDefault="00125452" w:rsidP="005535A0">
      <w:pPr>
        <w:spacing w:after="0" w:line="240" w:lineRule="auto"/>
      </w:pPr>
      <w:r>
        <w:separator/>
      </w:r>
    </w:p>
  </w:endnote>
  <w:endnote w:type="continuationSeparator" w:id="0">
    <w:p w14:paraId="7C8E05D3" w14:textId="77777777" w:rsidR="00125452" w:rsidRDefault="00125452" w:rsidP="0055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35674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3DDF7" w14:textId="591663B5" w:rsidR="005535A0" w:rsidRDefault="005535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30FCC7" w14:textId="77777777" w:rsidR="005535A0" w:rsidRDefault="00553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904B9" w14:textId="77777777" w:rsidR="00125452" w:rsidRDefault="00125452" w:rsidP="005535A0">
      <w:pPr>
        <w:spacing w:after="0" w:line="240" w:lineRule="auto"/>
      </w:pPr>
      <w:r>
        <w:separator/>
      </w:r>
    </w:p>
  </w:footnote>
  <w:footnote w:type="continuationSeparator" w:id="0">
    <w:p w14:paraId="4BA742E5" w14:textId="77777777" w:rsidR="00125452" w:rsidRDefault="00125452" w:rsidP="0055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94BE1"/>
    <w:multiLevelType w:val="hybridMultilevel"/>
    <w:tmpl w:val="6E8ED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661F0"/>
    <w:multiLevelType w:val="hybridMultilevel"/>
    <w:tmpl w:val="14903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00673"/>
    <w:multiLevelType w:val="hybridMultilevel"/>
    <w:tmpl w:val="16948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D0045"/>
    <w:multiLevelType w:val="hybridMultilevel"/>
    <w:tmpl w:val="C4B85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31F57"/>
    <w:multiLevelType w:val="hybridMultilevel"/>
    <w:tmpl w:val="EEE6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243617">
    <w:abstractNumId w:val="4"/>
  </w:num>
  <w:num w:numId="2" w16cid:durableId="960452648">
    <w:abstractNumId w:val="1"/>
  </w:num>
  <w:num w:numId="3" w16cid:durableId="2091191583">
    <w:abstractNumId w:val="0"/>
  </w:num>
  <w:num w:numId="4" w16cid:durableId="1516580702">
    <w:abstractNumId w:val="3"/>
  </w:num>
  <w:num w:numId="5" w16cid:durableId="1679966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25"/>
    <w:rsid w:val="00003CD8"/>
    <w:rsid w:val="00012019"/>
    <w:rsid w:val="00014F11"/>
    <w:rsid w:val="000470BF"/>
    <w:rsid w:val="00051A01"/>
    <w:rsid w:val="000677DF"/>
    <w:rsid w:val="00070932"/>
    <w:rsid w:val="00074475"/>
    <w:rsid w:val="000876C7"/>
    <w:rsid w:val="00087871"/>
    <w:rsid w:val="00095FD9"/>
    <w:rsid w:val="000A5807"/>
    <w:rsid w:val="000B0EC0"/>
    <w:rsid w:val="000E3E30"/>
    <w:rsid w:val="000F32AD"/>
    <w:rsid w:val="001154B4"/>
    <w:rsid w:val="001219B0"/>
    <w:rsid w:val="00122411"/>
    <w:rsid w:val="00125452"/>
    <w:rsid w:val="001267F1"/>
    <w:rsid w:val="001315E7"/>
    <w:rsid w:val="001421D1"/>
    <w:rsid w:val="00144D94"/>
    <w:rsid w:val="00175188"/>
    <w:rsid w:val="00193918"/>
    <w:rsid w:val="001C2BCF"/>
    <w:rsid w:val="001E576E"/>
    <w:rsid w:val="00200F47"/>
    <w:rsid w:val="00210795"/>
    <w:rsid w:val="002342F8"/>
    <w:rsid w:val="002368EE"/>
    <w:rsid w:val="002412BA"/>
    <w:rsid w:val="00242CCA"/>
    <w:rsid w:val="00243F23"/>
    <w:rsid w:val="0024487E"/>
    <w:rsid w:val="00256063"/>
    <w:rsid w:val="00263B63"/>
    <w:rsid w:val="002A3E9E"/>
    <w:rsid w:val="002A69A8"/>
    <w:rsid w:val="002A6F73"/>
    <w:rsid w:val="002C1737"/>
    <w:rsid w:val="002D7EE5"/>
    <w:rsid w:val="002E66F6"/>
    <w:rsid w:val="003066BB"/>
    <w:rsid w:val="00350634"/>
    <w:rsid w:val="00357072"/>
    <w:rsid w:val="00357882"/>
    <w:rsid w:val="003718EE"/>
    <w:rsid w:val="003A35F6"/>
    <w:rsid w:val="003A6515"/>
    <w:rsid w:val="003A71A0"/>
    <w:rsid w:val="003A77F4"/>
    <w:rsid w:val="003B0DB2"/>
    <w:rsid w:val="003C28EB"/>
    <w:rsid w:val="003F7C18"/>
    <w:rsid w:val="0040249B"/>
    <w:rsid w:val="004060D5"/>
    <w:rsid w:val="0041495A"/>
    <w:rsid w:val="0046316B"/>
    <w:rsid w:val="00472833"/>
    <w:rsid w:val="004A2086"/>
    <w:rsid w:val="004A356C"/>
    <w:rsid w:val="004B027C"/>
    <w:rsid w:val="004B0A44"/>
    <w:rsid w:val="004B1052"/>
    <w:rsid w:val="004B47FE"/>
    <w:rsid w:val="004B720C"/>
    <w:rsid w:val="004C1F3D"/>
    <w:rsid w:val="004C49CB"/>
    <w:rsid w:val="004D2BBC"/>
    <w:rsid w:val="004F0D5F"/>
    <w:rsid w:val="004F5121"/>
    <w:rsid w:val="005045C1"/>
    <w:rsid w:val="00513B79"/>
    <w:rsid w:val="00526CC7"/>
    <w:rsid w:val="00531BC7"/>
    <w:rsid w:val="005419FF"/>
    <w:rsid w:val="005535A0"/>
    <w:rsid w:val="00553B15"/>
    <w:rsid w:val="0055532C"/>
    <w:rsid w:val="00556E81"/>
    <w:rsid w:val="00561695"/>
    <w:rsid w:val="00566CA1"/>
    <w:rsid w:val="005711AA"/>
    <w:rsid w:val="00576066"/>
    <w:rsid w:val="005766BC"/>
    <w:rsid w:val="005838BD"/>
    <w:rsid w:val="005C47B7"/>
    <w:rsid w:val="005D1F40"/>
    <w:rsid w:val="005D2B3C"/>
    <w:rsid w:val="005E6AE0"/>
    <w:rsid w:val="00622E61"/>
    <w:rsid w:val="006275FB"/>
    <w:rsid w:val="006337D6"/>
    <w:rsid w:val="006343FE"/>
    <w:rsid w:val="00655493"/>
    <w:rsid w:val="0066179A"/>
    <w:rsid w:val="006620EC"/>
    <w:rsid w:val="00664753"/>
    <w:rsid w:val="00665FEF"/>
    <w:rsid w:val="0066785C"/>
    <w:rsid w:val="00673123"/>
    <w:rsid w:val="006810F5"/>
    <w:rsid w:val="006A342D"/>
    <w:rsid w:val="006B1BE7"/>
    <w:rsid w:val="006B4FF0"/>
    <w:rsid w:val="006B5D47"/>
    <w:rsid w:val="006C3058"/>
    <w:rsid w:val="006D77EC"/>
    <w:rsid w:val="006E0379"/>
    <w:rsid w:val="006E4C17"/>
    <w:rsid w:val="0072659F"/>
    <w:rsid w:val="007303C6"/>
    <w:rsid w:val="00737A9B"/>
    <w:rsid w:val="00747583"/>
    <w:rsid w:val="0075222A"/>
    <w:rsid w:val="0075534F"/>
    <w:rsid w:val="00774B1D"/>
    <w:rsid w:val="007820EA"/>
    <w:rsid w:val="0078742B"/>
    <w:rsid w:val="00796065"/>
    <w:rsid w:val="007A0791"/>
    <w:rsid w:val="007B16BA"/>
    <w:rsid w:val="007B39B3"/>
    <w:rsid w:val="007B4F36"/>
    <w:rsid w:val="007C497C"/>
    <w:rsid w:val="0080076D"/>
    <w:rsid w:val="00804E25"/>
    <w:rsid w:val="008203CF"/>
    <w:rsid w:val="00831916"/>
    <w:rsid w:val="00837A9E"/>
    <w:rsid w:val="00865501"/>
    <w:rsid w:val="00875938"/>
    <w:rsid w:val="0088066D"/>
    <w:rsid w:val="00882A74"/>
    <w:rsid w:val="008C4650"/>
    <w:rsid w:val="008C5901"/>
    <w:rsid w:val="008C7DCF"/>
    <w:rsid w:val="008E3B21"/>
    <w:rsid w:val="00900F2B"/>
    <w:rsid w:val="009176EA"/>
    <w:rsid w:val="00935C59"/>
    <w:rsid w:val="00952524"/>
    <w:rsid w:val="00954E52"/>
    <w:rsid w:val="009653FD"/>
    <w:rsid w:val="00970056"/>
    <w:rsid w:val="00972267"/>
    <w:rsid w:val="009735E7"/>
    <w:rsid w:val="00981590"/>
    <w:rsid w:val="009B43BB"/>
    <w:rsid w:val="009B7C02"/>
    <w:rsid w:val="009C5A4F"/>
    <w:rsid w:val="009C718B"/>
    <w:rsid w:val="009F2B6C"/>
    <w:rsid w:val="009F6BB7"/>
    <w:rsid w:val="00A01FA4"/>
    <w:rsid w:val="00A07A7D"/>
    <w:rsid w:val="00A24A46"/>
    <w:rsid w:val="00A41691"/>
    <w:rsid w:val="00A613AC"/>
    <w:rsid w:val="00A82893"/>
    <w:rsid w:val="00A864C9"/>
    <w:rsid w:val="00A9307D"/>
    <w:rsid w:val="00A939B3"/>
    <w:rsid w:val="00AA2D53"/>
    <w:rsid w:val="00AA5CFA"/>
    <w:rsid w:val="00B023CC"/>
    <w:rsid w:val="00B25658"/>
    <w:rsid w:val="00B4120E"/>
    <w:rsid w:val="00B55D90"/>
    <w:rsid w:val="00B70615"/>
    <w:rsid w:val="00B74F9C"/>
    <w:rsid w:val="00B872CB"/>
    <w:rsid w:val="00B962D4"/>
    <w:rsid w:val="00BB318F"/>
    <w:rsid w:val="00BC7076"/>
    <w:rsid w:val="00BE2E28"/>
    <w:rsid w:val="00C042BB"/>
    <w:rsid w:val="00C36335"/>
    <w:rsid w:val="00C376C9"/>
    <w:rsid w:val="00C52302"/>
    <w:rsid w:val="00C5765F"/>
    <w:rsid w:val="00C65BB3"/>
    <w:rsid w:val="00C95DD4"/>
    <w:rsid w:val="00CA00EE"/>
    <w:rsid w:val="00CA4506"/>
    <w:rsid w:val="00CC4F56"/>
    <w:rsid w:val="00CD1D65"/>
    <w:rsid w:val="00CD2A24"/>
    <w:rsid w:val="00D07427"/>
    <w:rsid w:val="00D45DD0"/>
    <w:rsid w:val="00D5202E"/>
    <w:rsid w:val="00D62C19"/>
    <w:rsid w:val="00D813FB"/>
    <w:rsid w:val="00D84534"/>
    <w:rsid w:val="00D90778"/>
    <w:rsid w:val="00D9684F"/>
    <w:rsid w:val="00D979A2"/>
    <w:rsid w:val="00DA02AC"/>
    <w:rsid w:val="00DA259A"/>
    <w:rsid w:val="00DB01E4"/>
    <w:rsid w:val="00DB0A54"/>
    <w:rsid w:val="00DC2C44"/>
    <w:rsid w:val="00DD7B72"/>
    <w:rsid w:val="00DF04F7"/>
    <w:rsid w:val="00E0322E"/>
    <w:rsid w:val="00E14658"/>
    <w:rsid w:val="00E306A9"/>
    <w:rsid w:val="00E30706"/>
    <w:rsid w:val="00E40BD1"/>
    <w:rsid w:val="00E40D63"/>
    <w:rsid w:val="00E52193"/>
    <w:rsid w:val="00E71D81"/>
    <w:rsid w:val="00EC001D"/>
    <w:rsid w:val="00EC0035"/>
    <w:rsid w:val="00EC5B2C"/>
    <w:rsid w:val="00EC6BFE"/>
    <w:rsid w:val="00ED25DF"/>
    <w:rsid w:val="00EE4214"/>
    <w:rsid w:val="00F03846"/>
    <w:rsid w:val="00F25F55"/>
    <w:rsid w:val="00F307B8"/>
    <w:rsid w:val="00F324E7"/>
    <w:rsid w:val="00F378DD"/>
    <w:rsid w:val="00F60D3F"/>
    <w:rsid w:val="00F62B25"/>
    <w:rsid w:val="00F77142"/>
    <w:rsid w:val="00F8043D"/>
    <w:rsid w:val="00FA0C36"/>
    <w:rsid w:val="00FC7EFF"/>
    <w:rsid w:val="00FC7F16"/>
    <w:rsid w:val="00FD5F13"/>
    <w:rsid w:val="00FE1BAC"/>
    <w:rsid w:val="00FF0D89"/>
    <w:rsid w:val="0A369C97"/>
    <w:rsid w:val="0F1DAEF2"/>
    <w:rsid w:val="11C2403F"/>
    <w:rsid w:val="28092EF4"/>
    <w:rsid w:val="2E3AB309"/>
    <w:rsid w:val="2F022857"/>
    <w:rsid w:val="3600165F"/>
    <w:rsid w:val="37F918CD"/>
    <w:rsid w:val="496E40AA"/>
    <w:rsid w:val="4A97B1EF"/>
    <w:rsid w:val="62580CE7"/>
    <w:rsid w:val="672F2946"/>
    <w:rsid w:val="6CF0A626"/>
    <w:rsid w:val="6E0EF9FE"/>
    <w:rsid w:val="70CD7D28"/>
    <w:rsid w:val="7DF038E7"/>
    <w:rsid w:val="7EF8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98B1E"/>
  <w15:chartTrackingRefBased/>
  <w15:docId w15:val="{C6FF1611-E395-4CC5-B53F-5456DC5B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B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B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B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B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B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B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B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B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B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B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B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B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B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B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B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B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B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B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B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B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B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2B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B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2B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B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2B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B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B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B2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62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A24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A46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A46"/>
    <w:rPr>
      <w:kern w:val="0"/>
      <w:sz w:val="20"/>
      <w:szCs w:val="20"/>
      <w14:ligatures w14:val="none"/>
    </w:rPr>
  </w:style>
  <w:style w:type="table" w:styleId="GridTable4">
    <w:name w:val="Grid Table 4"/>
    <w:basedOn w:val="TableNormal"/>
    <w:uiPriority w:val="49"/>
    <w:rsid w:val="0097226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6BA"/>
    <w:pPr>
      <w:spacing w:after="160"/>
    </w:pPr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6BA"/>
    <w:rPr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53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5A0"/>
  </w:style>
  <w:style w:type="paragraph" w:styleId="Footer">
    <w:name w:val="footer"/>
    <w:basedOn w:val="Normal"/>
    <w:link w:val="FooterChar"/>
    <w:uiPriority w:val="99"/>
    <w:unhideWhenUsed/>
    <w:rsid w:val="00553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5A0"/>
  </w:style>
  <w:style w:type="paragraph" w:styleId="Revision">
    <w:name w:val="Revision"/>
    <w:hidden/>
    <w:uiPriority w:val="99"/>
    <w:semiHidden/>
    <w:rsid w:val="00E30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462599AE51F4FA458CAAEF27E4291" ma:contentTypeVersion="3" ma:contentTypeDescription="Create a new document." ma:contentTypeScope="" ma:versionID="a3d37d472d0220864f814a0598b4e762">
  <xsd:schema xmlns:xsd="http://www.w3.org/2001/XMLSchema" xmlns:xs="http://www.w3.org/2001/XMLSchema" xmlns:p="http://schemas.microsoft.com/office/2006/metadata/properties" xmlns:ns2="aaea5aad-3151-495c-8632-53e45a860fc5" targetNamespace="http://schemas.microsoft.com/office/2006/metadata/properties" ma:root="true" ma:fieldsID="e4abeef4b482f1c4059d5c47970cc7a8" ns2:_="">
    <xsd:import namespace="aaea5aad-3151-495c-8632-53e45a860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a5aad-3151-495c-8632-53e45a860f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E55BA0-91A5-4DEC-A1A0-982F574C7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a5aad-3151-495c-8632-53e45a860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FE76-7254-472A-AA43-FC277C039F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E64D3-700E-4F60-960A-00849A6DCE7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1998</Words>
  <Characters>11392</Characters>
  <Application>Microsoft Office Word</Application>
  <DocSecurity>0</DocSecurity>
  <Lines>94</Lines>
  <Paragraphs>26</Paragraphs>
  <ScaleCrop>false</ScaleCrop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Jacobs</dc:creator>
  <cp:keywords/>
  <dc:description/>
  <cp:lastModifiedBy>March, Kevin</cp:lastModifiedBy>
  <cp:revision>2</cp:revision>
  <dcterms:created xsi:type="dcterms:W3CDTF">2025-11-04T13:56:00Z</dcterms:created>
  <dcterms:modified xsi:type="dcterms:W3CDTF">2025-11-04T13:56:00Z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0x0101009D1462599AE51F4FA458CAAEF27E4291</vt:lpwstr>
  </property>
  <property fmtid="{D5CDD505-2E9C-101B-9397-08002B2CF9AE}" pid="3" name="Order">
    <vt:r8>28300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